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757944D8">
            <wp:simplePos x="0" y="0"/>
            <wp:positionH relativeFrom="column">
              <wp:posOffset>-375920</wp:posOffset>
            </wp:positionH>
            <wp:positionV relativeFrom="paragraph">
              <wp:posOffset>4445</wp:posOffset>
            </wp:positionV>
            <wp:extent cx="1962150" cy="1457960"/>
            <wp:effectExtent l="0" t="0" r="0" b="8890"/>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1962150" cy="1457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280F2C">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00AE11C4" w14:textId="77777777" w:rsidR="00280F2C"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70E0F890" w14:textId="77777777" w:rsidR="00280F2C" w:rsidRDefault="00280F2C" w:rsidP="00F21580">
            <w:pPr>
              <w:tabs>
                <w:tab w:val="left" w:pos="780"/>
                <w:tab w:val="left" w:pos="6379"/>
                <w:tab w:val="left" w:pos="6946"/>
              </w:tabs>
              <w:ind w:right="-1"/>
              <w:jc w:val="center"/>
              <w:rPr>
                <w:rFonts w:ascii="Arial Narrow" w:hAnsi="Arial Narrow" w:cs="Arial"/>
                <w:b/>
                <w:bCs/>
                <w:color w:val="FFFFFF"/>
                <w:sz w:val="34"/>
              </w:rPr>
            </w:pPr>
          </w:p>
          <w:p w14:paraId="6392F1BE" w14:textId="55E9A434" w:rsidR="004715D7" w:rsidRPr="004715D7" w:rsidRDefault="00CD7940"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Prime pouvoir d’achat</w:t>
            </w:r>
            <w:r w:rsidR="007D130D">
              <w:rPr>
                <w:rFonts w:ascii="Arial Narrow" w:hAnsi="Arial Narrow" w:cs="Arial"/>
                <w:b/>
                <w:bCs/>
                <w:color w:val="FFFFFF"/>
                <w:sz w:val="34"/>
              </w:rPr>
              <w:t xml:space="preserve"> exceptionnelle</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59456108" w14:textId="77777777" w:rsidR="00834C3F" w:rsidRPr="004715D7" w:rsidRDefault="00834C3F" w:rsidP="00834C3F">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5969273C" w14:textId="4E2F91D2" w:rsidR="00D4608E" w:rsidRDefault="00D4608E" w:rsidP="00D4608E">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3213119F" w14:textId="77777777" w:rsidR="00D4608E" w:rsidRPr="00490B13" w:rsidRDefault="00D4608E" w:rsidP="00D4608E">
            <w:pPr>
              <w:spacing w:before="120" w:after="120"/>
              <w:rPr>
                <w:rFonts w:ascii="Arial" w:hAnsi="Arial" w:cs="Arial"/>
                <w:b/>
                <w:iCs/>
              </w:rPr>
            </w:pPr>
            <w:r w:rsidRPr="00490B13">
              <w:rPr>
                <w:rFonts w:ascii="Arial" w:hAnsi="Arial" w:cs="Arial"/>
                <w:b/>
                <w:iCs/>
              </w:rPr>
              <w:t>Coordonnées de la personne en charge du dossier :</w:t>
            </w:r>
          </w:p>
          <w:p w14:paraId="2097DF06" w14:textId="77777777" w:rsidR="00D4608E" w:rsidRPr="00490B13" w:rsidRDefault="00D4608E" w:rsidP="00D4608E">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7D53AFFC" w:rsidR="004715D7" w:rsidRPr="004715D7" w:rsidRDefault="00D4608E" w:rsidP="00D4608E">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25C4C85C" w14:textId="7897AF28" w:rsidR="00F21580" w:rsidRPr="00ED41A6" w:rsidRDefault="004715D7" w:rsidP="00ED41A6">
            <w:pPr>
              <w:jc w:val="center"/>
              <w:rPr>
                <w:rFonts w:ascii="Arial" w:hAnsi="Arial" w:cs="Arial"/>
                <w:b/>
                <w:iCs/>
                <w:caps/>
                <w:color w:val="000000"/>
              </w:rPr>
            </w:pPr>
            <w:r w:rsidRPr="004715D7">
              <w:rPr>
                <w:rFonts w:ascii="Arial" w:hAnsi="Arial" w:cs="Arial"/>
                <w:b/>
                <w:iCs/>
                <w:caps/>
                <w:color w:val="000000"/>
              </w:rPr>
              <w:t xml:space="preserve">Pieces a joindre : </w:t>
            </w:r>
            <w:r w:rsidR="00F21580">
              <w:rPr>
                <w:rFonts w:ascii="Arial" w:hAnsi="Arial" w:cs="Arial"/>
                <w:b/>
                <w:iCs/>
                <w:caps/>
                <w:color w:val="000000"/>
              </w:rPr>
              <w:t xml:space="preserve">- </w:t>
            </w:r>
            <w:r w:rsidRPr="004715D7">
              <w:rPr>
                <w:rFonts w:ascii="Arial" w:hAnsi="Arial" w:cs="Arial"/>
                <w:b/>
                <w:iCs/>
                <w:caps/>
                <w:color w:val="000000"/>
              </w:rPr>
              <w:t xml:space="preserve">projet de </w:t>
            </w:r>
            <w:r w:rsidR="00F21580">
              <w:rPr>
                <w:rFonts w:ascii="Arial" w:hAnsi="Arial" w:cs="Arial"/>
                <w:b/>
                <w:iCs/>
                <w:caps/>
                <w:color w:val="000000"/>
              </w:rPr>
              <w:t>DELIBERATION</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6B2F9F7E" w14:textId="01B7A154" w:rsidR="00ED41A6" w:rsidRPr="00F67911" w:rsidRDefault="00F21580" w:rsidP="0048004D">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F67911">
        <w:rPr>
          <w:rFonts w:ascii="Arial" w:hAnsi="Arial" w:cs="Arial"/>
          <w:b/>
          <w:bCs/>
          <w:iCs/>
          <w:u w:val="single"/>
        </w:rPr>
        <w:t>Texte de référence</w:t>
      </w:r>
      <w:r w:rsidRPr="00F67911">
        <w:rPr>
          <w:rFonts w:ascii="Arial" w:hAnsi="Arial" w:cs="Arial"/>
          <w:b/>
          <w:bCs/>
          <w:iCs/>
        </w:rPr>
        <w:t> :</w:t>
      </w:r>
      <w:r w:rsidRPr="00F67911">
        <w:rPr>
          <w:rFonts w:ascii="Arial" w:hAnsi="Arial" w:cs="Arial"/>
          <w:iCs/>
        </w:rPr>
        <w:t xml:space="preserve"> </w:t>
      </w:r>
      <w:r w:rsidR="00ED41A6" w:rsidRPr="00F67911">
        <w:rPr>
          <w:rFonts w:ascii="Arial" w:hAnsi="Arial" w:cs="Arial"/>
          <w:iCs/>
        </w:rPr>
        <w:t xml:space="preserve">- </w:t>
      </w:r>
      <w:r w:rsidR="0048004D" w:rsidRPr="00F67911">
        <w:rPr>
          <w:rFonts w:ascii="Arial" w:hAnsi="Arial" w:cs="Arial"/>
          <w:iCs/>
        </w:rPr>
        <w:t>Décret n° 2023-1006 du 31 octobre 2023 portant création d'une prime de pouvoir d'achat exceptionnelle pour certains agents publics de la fonction publique territoriale</w:t>
      </w:r>
      <w:r w:rsidR="00ED41A6" w:rsidRPr="00F67911">
        <w:rPr>
          <w:rFonts w:ascii="Arial" w:hAnsi="Arial" w:cs="Arial"/>
        </w:rPr>
        <w:t>.</w:t>
      </w:r>
    </w:p>
    <w:p w14:paraId="3B8E4A3B" w14:textId="7DC016F2"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62DD8465" w14:textId="7975549A" w:rsidR="00ED41A6" w:rsidRPr="004B0D58" w:rsidRDefault="00ED41A6" w:rsidP="00ED41A6">
      <w:pPr>
        <w:tabs>
          <w:tab w:val="left" w:pos="5103"/>
        </w:tabs>
        <w:jc w:val="center"/>
        <w:rPr>
          <w:rFonts w:ascii="Arial" w:hAnsi="Arial" w:cs="Arial"/>
          <w:b/>
          <w:bCs/>
          <w:iCs/>
          <w:u w:val="single"/>
        </w:rPr>
      </w:pPr>
      <w:r w:rsidRPr="004B0D58">
        <w:rPr>
          <w:rFonts w:ascii="Arial" w:hAnsi="Arial" w:cs="Arial"/>
          <w:b/>
          <w:bCs/>
          <w:iCs/>
          <w:u w:val="single"/>
        </w:rPr>
        <w:t xml:space="preserve">Choix </w:t>
      </w:r>
      <w:r w:rsidR="00F67911" w:rsidRPr="004B0D58">
        <w:rPr>
          <w:rFonts w:ascii="Arial" w:hAnsi="Arial" w:cs="Arial"/>
          <w:b/>
          <w:bCs/>
          <w:iCs/>
          <w:u w:val="single"/>
        </w:rPr>
        <w:t>et pério</w:t>
      </w:r>
      <w:r w:rsidR="002412C6" w:rsidRPr="004B0D58">
        <w:rPr>
          <w:rFonts w:ascii="Arial" w:hAnsi="Arial" w:cs="Arial"/>
          <w:b/>
          <w:bCs/>
          <w:iCs/>
          <w:u w:val="single"/>
        </w:rPr>
        <w:t>de</w:t>
      </w:r>
      <w:r w:rsidR="00F67911" w:rsidRPr="004B0D58">
        <w:rPr>
          <w:rFonts w:ascii="Arial" w:hAnsi="Arial" w:cs="Arial"/>
          <w:b/>
          <w:bCs/>
          <w:iCs/>
          <w:u w:val="single"/>
        </w:rPr>
        <w:t xml:space="preserve"> de versement (avant le 30 juin 2024)</w:t>
      </w:r>
      <w:r w:rsidRPr="004B0D58">
        <w:rPr>
          <w:rFonts w:ascii="Arial" w:hAnsi="Arial" w:cs="Arial"/>
          <w:b/>
          <w:bCs/>
          <w:iCs/>
          <w:u w:val="single"/>
        </w:rPr>
        <w:t> :</w:t>
      </w:r>
    </w:p>
    <w:p w14:paraId="3100C386" w14:textId="77777777" w:rsidR="00F67911" w:rsidRPr="004B0D58" w:rsidRDefault="00F67911" w:rsidP="00ED41A6">
      <w:pPr>
        <w:tabs>
          <w:tab w:val="left" w:pos="5103"/>
        </w:tabs>
        <w:jc w:val="center"/>
        <w:rPr>
          <w:rFonts w:ascii="Arial" w:hAnsi="Arial" w:cs="Arial"/>
          <w:iCs/>
        </w:rPr>
      </w:pPr>
    </w:p>
    <w:p w14:paraId="0F095ABA" w14:textId="253BA1AA" w:rsidR="00F67911" w:rsidRPr="004B0D58" w:rsidRDefault="00F67911" w:rsidP="00F67911">
      <w:pPr>
        <w:rPr>
          <w:rFonts w:ascii="Arial" w:hAnsi="Arial" w:cs="Arial"/>
          <w:iCs/>
        </w:rPr>
      </w:pPr>
      <w:r w:rsidRPr="004B0D58">
        <w:rPr>
          <w:rFonts w:ascii="Arial" w:hAnsi="Arial" w:cs="Arial"/>
          <w:iCs/>
        </w:rPr>
        <w:t xml:space="preserve">Mode de versement : </w:t>
      </w:r>
      <w:r w:rsidRPr="004B0D58">
        <w:rPr>
          <w:rFonts w:ascii="Arial" w:hAnsi="Arial" w:cs="Arial"/>
          <w:iCs/>
        </w:rPr>
        <w:tab/>
      </w:r>
      <w:r w:rsidRPr="004B0D58">
        <w:rPr>
          <w:rFonts w:ascii="Arial" w:hAnsi="Arial" w:cs="Arial"/>
          <w:iCs/>
        </w:rPr>
        <w:sym w:font="Wingdings" w:char="F06F"/>
      </w:r>
      <w:r w:rsidRPr="004B0D58">
        <w:rPr>
          <w:rFonts w:ascii="Arial" w:hAnsi="Arial" w:cs="Arial"/>
          <w:iCs/>
        </w:rPr>
        <w:t xml:space="preserve"> en une fraction</w:t>
      </w:r>
      <w:r w:rsidRPr="004B0D58">
        <w:rPr>
          <w:rFonts w:ascii="Arial" w:hAnsi="Arial" w:cs="Arial"/>
          <w:iCs/>
        </w:rPr>
        <w:tab/>
      </w:r>
      <w:r w:rsidRPr="004B0D58">
        <w:rPr>
          <w:rFonts w:ascii="Arial" w:hAnsi="Arial" w:cs="Arial"/>
          <w:iCs/>
        </w:rPr>
        <w:tab/>
      </w:r>
      <w:r w:rsidRPr="004B0D58">
        <w:rPr>
          <w:rFonts w:ascii="Arial" w:hAnsi="Arial" w:cs="Arial"/>
          <w:iCs/>
        </w:rPr>
        <w:sym w:font="Wingdings" w:char="F06F"/>
      </w:r>
      <w:r w:rsidRPr="004B0D58">
        <w:rPr>
          <w:rFonts w:ascii="Arial" w:hAnsi="Arial" w:cs="Arial"/>
          <w:iCs/>
        </w:rPr>
        <w:t xml:space="preserve"> en plusieurs f</w:t>
      </w:r>
      <w:r w:rsidR="002412C6" w:rsidRPr="004B0D58">
        <w:rPr>
          <w:rFonts w:ascii="Arial" w:hAnsi="Arial" w:cs="Arial"/>
          <w:iCs/>
        </w:rPr>
        <w:t>r</w:t>
      </w:r>
      <w:r w:rsidRPr="004B0D58">
        <w:rPr>
          <w:rFonts w:ascii="Arial" w:hAnsi="Arial" w:cs="Arial"/>
          <w:iCs/>
        </w:rPr>
        <w:t xml:space="preserve">actions </w:t>
      </w:r>
    </w:p>
    <w:p w14:paraId="4B63B02E" w14:textId="43939008" w:rsidR="00F67911" w:rsidRPr="004B0D58" w:rsidRDefault="00F67911" w:rsidP="00F67911">
      <w:pPr>
        <w:ind w:left="4248" w:firstLine="708"/>
        <w:rPr>
          <w:rFonts w:ascii="Arial" w:hAnsi="Arial" w:cs="Arial"/>
          <w:iCs/>
        </w:rPr>
      </w:pPr>
      <w:r w:rsidRPr="004B0D58">
        <w:rPr>
          <w:rFonts w:ascii="Arial" w:hAnsi="Arial" w:cs="Arial"/>
          <w:iCs/>
        </w:rPr>
        <w:t>(</w:t>
      </w:r>
      <w:proofErr w:type="gramStart"/>
      <w:r w:rsidRPr="004B0D58">
        <w:rPr>
          <w:rFonts w:ascii="Arial" w:hAnsi="Arial" w:cs="Arial"/>
          <w:iCs/>
        </w:rPr>
        <w:t>si</w:t>
      </w:r>
      <w:proofErr w:type="gramEnd"/>
      <w:r w:rsidRPr="004B0D58">
        <w:rPr>
          <w:rFonts w:ascii="Arial" w:hAnsi="Arial" w:cs="Arial"/>
          <w:iCs/>
        </w:rPr>
        <w:t xml:space="preserve"> oui, combien ?) : ….</w:t>
      </w:r>
    </w:p>
    <w:p w14:paraId="59BB36CA" w14:textId="77777777" w:rsidR="00F67911" w:rsidRPr="004B0D58" w:rsidRDefault="00F67911" w:rsidP="00F67911">
      <w:pPr>
        <w:tabs>
          <w:tab w:val="left" w:pos="5103"/>
        </w:tabs>
        <w:rPr>
          <w:rFonts w:ascii="Arial" w:hAnsi="Arial" w:cs="Arial"/>
          <w:iCs/>
        </w:rPr>
      </w:pPr>
    </w:p>
    <w:p w14:paraId="57B8E869" w14:textId="77777777" w:rsidR="00F67911" w:rsidRPr="004B0D58" w:rsidRDefault="00F67911" w:rsidP="00F67911">
      <w:pPr>
        <w:tabs>
          <w:tab w:val="left" w:pos="5103"/>
        </w:tabs>
        <w:rPr>
          <w:rFonts w:ascii="Arial" w:hAnsi="Arial" w:cs="Arial"/>
          <w:iCs/>
        </w:rPr>
      </w:pPr>
    </w:p>
    <w:p w14:paraId="5C609A80" w14:textId="35EF2584" w:rsidR="00F67911" w:rsidRPr="004B0D58" w:rsidRDefault="00F67911" w:rsidP="00F67911">
      <w:pPr>
        <w:tabs>
          <w:tab w:val="left" w:pos="5103"/>
        </w:tabs>
        <w:rPr>
          <w:rFonts w:ascii="Arial" w:hAnsi="Arial" w:cs="Arial"/>
          <w:iCs/>
        </w:rPr>
      </w:pPr>
      <w:r w:rsidRPr="004B0D58">
        <w:rPr>
          <w:rFonts w:ascii="Arial" w:hAnsi="Arial" w:cs="Arial"/>
          <w:iCs/>
        </w:rPr>
        <w:t>Mois de versement : ……</w:t>
      </w:r>
      <w:r w:rsidR="002412C6" w:rsidRPr="004B0D58">
        <w:rPr>
          <w:rFonts w:ascii="Arial" w:hAnsi="Arial" w:cs="Arial"/>
          <w:iCs/>
        </w:rPr>
        <w:t>………………………………………</w:t>
      </w:r>
      <w:proofErr w:type="gramStart"/>
      <w:r w:rsidR="002412C6" w:rsidRPr="004B0D58">
        <w:rPr>
          <w:rFonts w:ascii="Arial" w:hAnsi="Arial" w:cs="Arial"/>
          <w:iCs/>
        </w:rPr>
        <w:t>…….</w:t>
      </w:r>
      <w:proofErr w:type="gramEnd"/>
      <w:r w:rsidRPr="004B0D58">
        <w:rPr>
          <w:rFonts w:ascii="Arial" w:hAnsi="Arial" w:cs="Arial"/>
          <w:iCs/>
        </w:rPr>
        <w:t>………………</w:t>
      </w:r>
    </w:p>
    <w:p w14:paraId="384BC01A" w14:textId="77777777" w:rsidR="00ED41A6" w:rsidRPr="004B0D58" w:rsidRDefault="00ED41A6" w:rsidP="00ED41A6">
      <w:pPr>
        <w:tabs>
          <w:tab w:val="left" w:pos="5103"/>
        </w:tabs>
        <w:ind w:hanging="142"/>
        <w:rPr>
          <w:rFonts w:ascii="Arial" w:hAnsi="Arial" w:cs="Arial"/>
          <w:iCs/>
        </w:rPr>
      </w:pPr>
    </w:p>
    <w:p w14:paraId="6274A434" w14:textId="77777777" w:rsidR="00F67911" w:rsidRPr="004B0D58" w:rsidRDefault="00F67911" w:rsidP="00ED41A6">
      <w:pPr>
        <w:tabs>
          <w:tab w:val="left" w:pos="5103"/>
        </w:tabs>
        <w:ind w:hanging="142"/>
        <w:rPr>
          <w:rFonts w:ascii="Arial" w:hAnsi="Arial" w:cs="Arial"/>
          <w:iCs/>
        </w:rPr>
      </w:pPr>
    </w:p>
    <w:p w14:paraId="4D156E33" w14:textId="5B6B39F7" w:rsidR="00ED41A6" w:rsidRPr="004B0D58" w:rsidRDefault="00ED41A6" w:rsidP="00ED41A6">
      <w:pPr>
        <w:shd w:val="clear" w:color="auto" w:fill="FFFFFF" w:themeFill="background1"/>
        <w:tabs>
          <w:tab w:val="left" w:pos="5103"/>
        </w:tabs>
        <w:jc w:val="center"/>
        <w:rPr>
          <w:rFonts w:ascii="Arial" w:hAnsi="Arial" w:cs="Arial"/>
          <w:b/>
          <w:bCs/>
          <w:iCs/>
          <w:u w:val="single"/>
        </w:rPr>
      </w:pPr>
      <w:r w:rsidRPr="004B0D58">
        <w:rPr>
          <w:rFonts w:ascii="Arial" w:hAnsi="Arial" w:cs="Arial"/>
          <w:b/>
          <w:bCs/>
          <w:iCs/>
          <w:u w:val="single"/>
        </w:rPr>
        <w:t xml:space="preserve">Montant </w:t>
      </w:r>
      <w:r w:rsidR="00B74DC7" w:rsidRPr="004B0D58">
        <w:rPr>
          <w:rFonts w:ascii="Arial" w:hAnsi="Arial" w:cs="Arial"/>
          <w:b/>
          <w:bCs/>
          <w:iCs/>
          <w:u w:val="single"/>
        </w:rPr>
        <w:t>proposés</w:t>
      </w:r>
      <w:r w:rsidRPr="004B0D58">
        <w:rPr>
          <w:rFonts w:ascii="Arial" w:hAnsi="Arial" w:cs="Arial"/>
          <w:b/>
          <w:bCs/>
          <w:iCs/>
          <w:u w:val="single"/>
        </w:rPr>
        <w:t xml:space="preserve"> en euros :</w:t>
      </w:r>
    </w:p>
    <w:p w14:paraId="5EDC6B0F" w14:textId="4EF3B93E" w:rsidR="00ED41A6" w:rsidRDefault="00ED41A6" w:rsidP="00ED41A6">
      <w:pPr>
        <w:pStyle w:val="Paragraphedeliste"/>
        <w:tabs>
          <w:tab w:val="left" w:pos="5103"/>
        </w:tabs>
        <w:ind w:left="578"/>
        <w:rPr>
          <w:rFonts w:ascii="Calibri" w:hAnsi="Calibri" w:cs="Calibri"/>
          <w:color w:val="FF0000"/>
          <w:sz w:val="24"/>
          <w:szCs w:val="24"/>
        </w:rPr>
      </w:pPr>
    </w:p>
    <w:tbl>
      <w:tblPr>
        <w:tblW w:w="934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02"/>
        <w:gridCol w:w="1845"/>
        <w:gridCol w:w="1701"/>
      </w:tblGrid>
      <w:tr w:rsidR="00B74DC7" w:rsidRPr="00B74DC7" w14:paraId="552A6608" w14:textId="6CF911EA" w:rsidTr="00E273ED">
        <w:tc>
          <w:tcPr>
            <w:tcW w:w="0" w:type="auto"/>
            <w:shd w:val="clear" w:color="auto" w:fill="5C75A2"/>
            <w:tcMar>
              <w:top w:w="75" w:type="dxa"/>
              <w:left w:w="75" w:type="dxa"/>
              <w:bottom w:w="75" w:type="dxa"/>
              <w:right w:w="75" w:type="dxa"/>
            </w:tcMar>
            <w:vAlign w:val="center"/>
            <w:hideMark/>
          </w:tcPr>
          <w:p w14:paraId="1326D621" w14:textId="77777777" w:rsidR="00B74DC7" w:rsidRPr="00F67911" w:rsidRDefault="00B74DC7" w:rsidP="00B74DC7">
            <w:pPr>
              <w:jc w:val="center"/>
              <w:rPr>
                <w:rFonts w:ascii="Arial" w:hAnsi="Arial" w:cs="Arial"/>
                <w:color w:val="FFFFFF"/>
              </w:rPr>
            </w:pPr>
            <w:r w:rsidRPr="00B74DC7">
              <w:rPr>
                <w:rFonts w:ascii="Arial" w:hAnsi="Arial" w:cs="Arial"/>
                <w:color w:val="FFFFFF"/>
              </w:rPr>
              <w:t xml:space="preserve">Rémunération brute perçue </w:t>
            </w:r>
          </w:p>
          <w:p w14:paraId="3F1ACAB0" w14:textId="51C1CEC9" w:rsidR="00B74DC7" w:rsidRPr="00B74DC7" w:rsidRDefault="00B74DC7" w:rsidP="00B74DC7">
            <w:pPr>
              <w:jc w:val="center"/>
              <w:rPr>
                <w:rFonts w:ascii="Arial" w:hAnsi="Arial" w:cs="Arial"/>
                <w:color w:val="FFFFFF"/>
              </w:rPr>
            </w:pPr>
            <w:proofErr w:type="gramStart"/>
            <w:r w:rsidRPr="00B74DC7">
              <w:rPr>
                <w:rFonts w:ascii="Arial" w:hAnsi="Arial" w:cs="Arial"/>
                <w:color w:val="FFFFFF"/>
              </w:rPr>
              <w:t>au</w:t>
            </w:r>
            <w:proofErr w:type="gramEnd"/>
            <w:r w:rsidRPr="00B74DC7">
              <w:rPr>
                <w:rFonts w:ascii="Arial" w:hAnsi="Arial" w:cs="Arial"/>
                <w:color w:val="FFFFFF"/>
              </w:rPr>
              <w:t xml:space="preserve"> titre de la période courant</w:t>
            </w:r>
            <w:r w:rsidRPr="00B74DC7">
              <w:rPr>
                <w:rFonts w:ascii="Arial" w:hAnsi="Arial" w:cs="Arial"/>
                <w:color w:val="FFFFFF"/>
              </w:rPr>
              <w:br/>
              <w:t>du 1er juillet 2022 au 30 juin 2023</w:t>
            </w:r>
          </w:p>
        </w:tc>
        <w:tc>
          <w:tcPr>
            <w:tcW w:w="1845" w:type="dxa"/>
            <w:shd w:val="clear" w:color="auto" w:fill="5C75A2"/>
            <w:tcMar>
              <w:top w:w="75" w:type="dxa"/>
              <w:left w:w="75" w:type="dxa"/>
              <w:bottom w:w="75" w:type="dxa"/>
              <w:right w:w="75" w:type="dxa"/>
            </w:tcMar>
            <w:vAlign w:val="center"/>
            <w:hideMark/>
          </w:tcPr>
          <w:p w14:paraId="01DEA346" w14:textId="12FD3EFB" w:rsidR="00B74DC7" w:rsidRPr="00B74DC7" w:rsidRDefault="00B74DC7" w:rsidP="00B74DC7">
            <w:pPr>
              <w:jc w:val="center"/>
              <w:rPr>
                <w:rFonts w:ascii="Arial" w:hAnsi="Arial" w:cs="Arial"/>
                <w:color w:val="FFFFFF"/>
              </w:rPr>
            </w:pPr>
            <w:r w:rsidRPr="00B74DC7">
              <w:rPr>
                <w:rFonts w:ascii="Arial" w:hAnsi="Arial" w:cs="Arial"/>
                <w:color w:val="FFFFFF"/>
              </w:rPr>
              <w:t xml:space="preserve">Montant </w:t>
            </w:r>
            <w:r w:rsidRPr="00F67911">
              <w:rPr>
                <w:rFonts w:ascii="Arial" w:hAnsi="Arial" w:cs="Arial"/>
                <w:color w:val="FFFFFF"/>
              </w:rPr>
              <w:t>plafond règlementaire</w:t>
            </w:r>
          </w:p>
        </w:tc>
        <w:tc>
          <w:tcPr>
            <w:tcW w:w="1701" w:type="dxa"/>
            <w:shd w:val="clear" w:color="auto" w:fill="5C75A2"/>
            <w:vAlign w:val="center"/>
          </w:tcPr>
          <w:p w14:paraId="2A31208A" w14:textId="469878DE" w:rsidR="00E273ED" w:rsidRPr="00E273ED" w:rsidRDefault="00B74DC7" w:rsidP="00E273ED">
            <w:pPr>
              <w:jc w:val="center"/>
              <w:rPr>
                <w:rFonts w:ascii="Arial" w:hAnsi="Arial" w:cs="Arial"/>
                <w:color w:val="FFFFFF"/>
              </w:rPr>
            </w:pPr>
            <w:r w:rsidRPr="00F67911">
              <w:rPr>
                <w:rFonts w:ascii="Arial" w:hAnsi="Arial" w:cs="Arial"/>
                <w:color w:val="FFFFFF"/>
              </w:rPr>
              <w:t>Montant proposé</w:t>
            </w:r>
          </w:p>
        </w:tc>
      </w:tr>
      <w:tr w:rsidR="00B74DC7" w:rsidRPr="00B74DC7" w14:paraId="5665265C" w14:textId="39BA2294" w:rsidTr="001B6B92">
        <w:trPr>
          <w:trHeight w:val="224"/>
        </w:trPr>
        <w:tc>
          <w:tcPr>
            <w:tcW w:w="0" w:type="auto"/>
            <w:shd w:val="clear" w:color="auto" w:fill="EEEEEE"/>
            <w:tcMar>
              <w:top w:w="150" w:type="dxa"/>
              <w:left w:w="150" w:type="dxa"/>
              <w:bottom w:w="150" w:type="dxa"/>
              <w:right w:w="150" w:type="dxa"/>
            </w:tcMar>
            <w:vAlign w:val="center"/>
            <w:hideMark/>
          </w:tcPr>
          <w:p w14:paraId="56992430" w14:textId="251029CD" w:rsidR="00B74DC7" w:rsidRPr="00B74DC7" w:rsidRDefault="00B74DC7" w:rsidP="00B74DC7">
            <w:pPr>
              <w:jc w:val="center"/>
              <w:rPr>
                <w:rFonts w:ascii="Arial" w:hAnsi="Arial" w:cs="Arial"/>
                <w:color w:val="000000"/>
              </w:rPr>
            </w:pPr>
            <w:r w:rsidRPr="00B74DC7">
              <w:rPr>
                <w:rFonts w:ascii="Arial" w:hAnsi="Arial" w:cs="Arial"/>
                <w:color w:val="000000"/>
              </w:rPr>
              <w:t>Inférieure ou égale à 23 700 €</w:t>
            </w:r>
          </w:p>
        </w:tc>
        <w:tc>
          <w:tcPr>
            <w:tcW w:w="1845" w:type="dxa"/>
            <w:shd w:val="clear" w:color="auto" w:fill="EEEEEE"/>
            <w:tcMar>
              <w:top w:w="150" w:type="dxa"/>
              <w:left w:w="150" w:type="dxa"/>
              <w:bottom w:w="150" w:type="dxa"/>
              <w:right w:w="150" w:type="dxa"/>
            </w:tcMar>
            <w:vAlign w:val="center"/>
            <w:hideMark/>
          </w:tcPr>
          <w:p w14:paraId="4C0E29C4" w14:textId="32D15E01" w:rsidR="00B74DC7" w:rsidRPr="00B74DC7" w:rsidRDefault="00B74DC7" w:rsidP="00B74DC7">
            <w:pPr>
              <w:jc w:val="center"/>
              <w:rPr>
                <w:rFonts w:ascii="Arial" w:hAnsi="Arial" w:cs="Arial"/>
                <w:color w:val="000000"/>
              </w:rPr>
            </w:pPr>
            <w:r w:rsidRPr="00B74DC7">
              <w:rPr>
                <w:rFonts w:ascii="Arial" w:hAnsi="Arial" w:cs="Arial"/>
                <w:color w:val="000000"/>
              </w:rPr>
              <w:t>800 €</w:t>
            </w:r>
          </w:p>
        </w:tc>
        <w:tc>
          <w:tcPr>
            <w:tcW w:w="1701" w:type="dxa"/>
            <w:shd w:val="clear" w:color="auto" w:fill="EEEEEE"/>
          </w:tcPr>
          <w:p w14:paraId="34CD5671" w14:textId="77777777" w:rsidR="00B74DC7" w:rsidRPr="00F67911" w:rsidRDefault="00B74DC7" w:rsidP="00B74DC7">
            <w:pPr>
              <w:jc w:val="center"/>
              <w:rPr>
                <w:rFonts w:ascii="Arial" w:hAnsi="Arial" w:cs="Arial"/>
                <w:color w:val="000000"/>
              </w:rPr>
            </w:pPr>
          </w:p>
        </w:tc>
      </w:tr>
      <w:tr w:rsidR="00B74DC7" w:rsidRPr="00B74DC7" w14:paraId="3AC73053" w14:textId="4479FC40" w:rsidTr="001B6B92">
        <w:tc>
          <w:tcPr>
            <w:tcW w:w="0" w:type="auto"/>
            <w:shd w:val="clear" w:color="auto" w:fill="F5F5F5"/>
            <w:tcMar>
              <w:top w:w="150" w:type="dxa"/>
              <w:left w:w="150" w:type="dxa"/>
              <w:bottom w:w="150" w:type="dxa"/>
              <w:right w:w="150" w:type="dxa"/>
            </w:tcMar>
            <w:vAlign w:val="center"/>
            <w:hideMark/>
          </w:tcPr>
          <w:p w14:paraId="017D6F51" w14:textId="4A51BE6B" w:rsidR="00B74DC7" w:rsidRPr="00B74DC7" w:rsidRDefault="00B74DC7" w:rsidP="00B74DC7">
            <w:pPr>
              <w:jc w:val="center"/>
              <w:rPr>
                <w:rFonts w:ascii="Arial" w:hAnsi="Arial" w:cs="Arial"/>
                <w:color w:val="000000"/>
              </w:rPr>
            </w:pPr>
            <w:r w:rsidRPr="00B74DC7">
              <w:rPr>
                <w:rFonts w:ascii="Arial" w:hAnsi="Arial" w:cs="Arial"/>
                <w:color w:val="000000"/>
              </w:rPr>
              <w:t>Supérieure à 23 700 € et inférieure ou égale à 27 300 €</w:t>
            </w:r>
          </w:p>
        </w:tc>
        <w:tc>
          <w:tcPr>
            <w:tcW w:w="1845" w:type="dxa"/>
            <w:shd w:val="clear" w:color="auto" w:fill="F5F5F5"/>
            <w:tcMar>
              <w:top w:w="150" w:type="dxa"/>
              <w:left w:w="150" w:type="dxa"/>
              <w:bottom w:w="150" w:type="dxa"/>
              <w:right w:w="150" w:type="dxa"/>
            </w:tcMar>
            <w:vAlign w:val="center"/>
            <w:hideMark/>
          </w:tcPr>
          <w:p w14:paraId="44242C60" w14:textId="155A7546" w:rsidR="00B74DC7" w:rsidRPr="00B74DC7" w:rsidRDefault="00B74DC7" w:rsidP="00B74DC7">
            <w:pPr>
              <w:jc w:val="center"/>
              <w:rPr>
                <w:rFonts w:ascii="Arial" w:hAnsi="Arial" w:cs="Arial"/>
                <w:color w:val="000000"/>
              </w:rPr>
            </w:pPr>
            <w:r w:rsidRPr="00B74DC7">
              <w:rPr>
                <w:rFonts w:ascii="Arial" w:hAnsi="Arial" w:cs="Arial"/>
                <w:color w:val="000000"/>
              </w:rPr>
              <w:t>700 €</w:t>
            </w:r>
          </w:p>
        </w:tc>
        <w:tc>
          <w:tcPr>
            <w:tcW w:w="1701" w:type="dxa"/>
            <w:shd w:val="clear" w:color="auto" w:fill="F5F5F5"/>
          </w:tcPr>
          <w:p w14:paraId="16CEFCDE" w14:textId="77777777" w:rsidR="00B74DC7" w:rsidRPr="00F67911" w:rsidRDefault="00B74DC7" w:rsidP="00B74DC7">
            <w:pPr>
              <w:jc w:val="center"/>
              <w:rPr>
                <w:rFonts w:ascii="Arial" w:hAnsi="Arial" w:cs="Arial"/>
                <w:color w:val="000000"/>
              </w:rPr>
            </w:pPr>
          </w:p>
        </w:tc>
      </w:tr>
      <w:tr w:rsidR="00B74DC7" w:rsidRPr="00B74DC7" w14:paraId="69E781BC" w14:textId="1DC78D6B" w:rsidTr="001B6B92">
        <w:tc>
          <w:tcPr>
            <w:tcW w:w="0" w:type="auto"/>
            <w:shd w:val="clear" w:color="auto" w:fill="EEEEEE"/>
            <w:tcMar>
              <w:top w:w="150" w:type="dxa"/>
              <w:left w:w="150" w:type="dxa"/>
              <w:bottom w:w="150" w:type="dxa"/>
              <w:right w:w="150" w:type="dxa"/>
            </w:tcMar>
            <w:vAlign w:val="center"/>
            <w:hideMark/>
          </w:tcPr>
          <w:p w14:paraId="0695B01B" w14:textId="3D02ED5B" w:rsidR="00B74DC7" w:rsidRPr="00B74DC7" w:rsidRDefault="00B74DC7" w:rsidP="00B74DC7">
            <w:pPr>
              <w:jc w:val="center"/>
              <w:rPr>
                <w:rFonts w:ascii="Arial" w:hAnsi="Arial" w:cs="Arial"/>
                <w:color w:val="000000"/>
              </w:rPr>
            </w:pPr>
            <w:r w:rsidRPr="00B74DC7">
              <w:rPr>
                <w:rFonts w:ascii="Arial" w:hAnsi="Arial" w:cs="Arial"/>
                <w:color w:val="000000"/>
              </w:rPr>
              <w:t>Supérieure à 27 300 € et inférieure ou égale à 29 160 €</w:t>
            </w:r>
          </w:p>
        </w:tc>
        <w:tc>
          <w:tcPr>
            <w:tcW w:w="1845" w:type="dxa"/>
            <w:shd w:val="clear" w:color="auto" w:fill="EEEEEE"/>
            <w:tcMar>
              <w:top w:w="150" w:type="dxa"/>
              <w:left w:w="150" w:type="dxa"/>
              <w:bottom w:w="150" w:type="dxa"/>
              <w:right w:w="150" w:type="dxa"/>
            </w:tcMar>
            <w:vAlign w:val="center"/>
            <w:hideMark/>
          </w:tcPr>
          <w:p w14:paraId="3791A804" w14:textId="345897C6" w:rsidR="00B74DC7" w:rsidRPr="00B74DC7" w:rsidRDefault="00B74DC7" w:rsidP="00B74DC7">
            <w:pPr>
              <w:jc w:val="center"/>
              <w:rPr>
                <w:rFonts w:ascii="Arial" w:hAnsi="Arial" w:cs="Arial"/>
                <w:color w:val="000000"/>
              </w:rPr>
            </w:pPr>
            <w:r w:rsidRPr="00B74DC7">
              <w:rPr>
                <w:rFonts w:ascii="Arial" w:hAnsi="Arial" w:cs="Arial"/>
                <w:color w:val="000000"/>
              </w:rPr>
              <w:t>600 €</w:t>
            </w:r>
          </w:p>
        </w:tc>
        <w:tc>
          <w:tcPr>
            <w:tcW w:w="1701" w:type="dxa"/>
            <w:shd w:val="clear" w:color="auto" w:fill="EEEEEE"/>
          </w:tcPr>
          <w:p w14:paraId="0B890144" w14:textId="77777777" w:rsidR="00B74DC7" w:rsidRPr="00F67911" w:rsidRDefault="00B74DC7" w:rsidP="00B74DC7">
            <w:pPr>
              <w:jc w:val="center"/>
              <w:rPr>
                <w:rFonts w:ascii="Arial" w:hAnsi="Arial" w:cs="Arial"/>
                <w:color w:val="000000"/>
              </w:rPr>
            </w:pPr>
          </w:p>
        </w:tc>
      </w:tr>
      <w:tr w:rsidR="00B74DC7" w:rsidRPr="00B74DC7" w14:paraId="7E792D93" w14:textId="22023471" w:rsidTr="001B6B92">
        <w:tc>
          <w:tcPr>
            <w:tcW w:w="0" w:type="auto"/>
            <w:shd w:val="clear" w:color="auto" w:fill="F5F5F5"/>
            <w:tcMar>
              <w:top w:w="150" w:type="dxa"/>
              <w:left w:w="150" w:type="dxa"/>
              <w:bottom w:w="150" w:type="dxa"/>
              <w:right w:w="150" w:type="dxa"/>
            </w:tcMar>
            <w:vAlign w:val="center"/>
            <w:hideMark/>
          </w:tcPr>
          <w:p w14:paraId="7168F2CB" w14:textId="45C346FE" w:rsidR="00B74DC7" w:rsidRPr="00B74DC7" w:rsidRDefault="00B74DC7" w:rsidP="00B74DC7">
            <w:pPr>
              <w:jc w:val="center"/>
              <w:rPr>
                <w:rFonts w:ascii="Arial" w:hAnsi="Arial" w:cs="Arial"/>
                <w:color w:val="000000"/>
              </w:rPr>
            </w:pPr>
            <w:r w:rsidRPr="00B74DC7">
              <w:rPr>
                <w:rFonts w:ascii="Arial" w:hAnsi="Arial" w:cs="Arial"/>
                <w:color w:val="000000"/>
              </w:rPr>
              <w:t>Supérieure à 29 160 € et inférieure ou égale à 30 840 €</w:t>
            </w:r>
          </w:p>
        </w:tc>
        <w:tc>
          <w:tcPr>
            <w:tcW w:w="1845" w:type="dxa"/>
            <w:shd w:val="clear" w:color="auto" w:fill="F5F5F5"/>
            <w:tcMar>
              <w:top w:w="150" w:type="dxa"/>
              <w:left w:w="150" w:type="dxa"/>
              <w:bottom w:w="150" w:type="dxa"/>
              <w:right w:w="150" w:type="dxa"/>
            </w:tcMar>
            <w:vAlign w:val="center"/>
            <w:hideMark/>
          </w:tcPr>
          <w:p w14:paraId="62374C5B" w14:textId="6F8763B9" w:rsidR="00B74DC7" w:rsidRPr="00B74DC7" w:rsidRDefault="00B74DC7" w:rsidP="00B74DC7">
            <w:pPr>
              <w:jc w:val="center"/>
              <w:rPr>
                <w:rFonts w:ascii="Arial" w:hAnsi="Arial" w:cs="Arial"/>
                <w:color w:val="000000"/>
              </w:rPr>
            </w:pPr>
            <w:r w:rsidRPr="00B74DC7">
              <w:rPr>
                <w:rFonts w:ascii="Arial" w:hAnsi="Arial" w:cs="Arial"/>
                <w:color w:val="000000"/>
              </w:rPr>
              <w:t>500 €</w:t>
            </w:r>
          </w:p>
        </w:tc>
        <w:tc>
          <w:tcPr>
            <w:tcW w:w="1701" w:type="dxa"/>
            <w:shd w:val="clear" w:color="auto" w:fill="F5F5F5"/>
          </w:tcPr>
          <w:p w14:paraId="49A2A95E" w14:textId="77777777" w:rsidR="00B74DC7" w:rsidRPr="00F67911" w:rsidRDefault="00B74DC7" w:rsidP="00B74DC7">
            <w:pPr>
              <w:jc w:val="center"/>
              <w:rPr>
                <w:rFonts w:ascii="Arial" w:hAnsi="Arial" w:cs="Arial"/>
                <w:color w:val="000000"/>
              </w:rPr>
            </w:pPr>
          </w:p>
        </w:tc>
      </w:tr>
      <w:tr w:rsidR="00B74DC7" w:rsidRPr="00B74DC7" w14:paraId="45DC9FCC" w14:textId="00485E95" w:rsidTr="001B6B92">
        <w:tc>
          <w:tcPr>
            <w:tcW w:w="0" w:type="auto"/>
            <w:shd w:val="clear" w:color="auto" w:fill="EEEEEE"/>
            <w:tcMar>
              <w:top w:w="150" w:type="dxa"/>
              <w:left w:w="150" w:type="dxa"/>
              <w:bottom w:w="150" w:type="dxa"/>
              <w:right w:w="150" w:type="dxa"/>
            </w:tcMar>
            <w:vAlign w:val="center"/>
            <w:hideMark/>
          </w:tcPr>
          <w:p w14:paraId="09D65D89" w14:textId="666B41C5" w:rsidR="00B74DC7" w:rsidRPr="00B74DC7" w:rsidRDefault="00B74DC7" w:rsidP="00B74DC7">
            <w:pPr>
              <w:jc w:val="center"/>
              <w:rPr>
                <w:rFonts w:ascii="Arial" w:hAnsi="Arial" w:cs="Arial"/>
                <w:color w:val="000000"/>
              </w:rPr>
            </w:pPr>
            <w:r w:rsidRPr="00B74DC7">
              <w:rPr>
                <w:rFonts w:ascii="Arial" w:hAnsi="Arial" w:cs="Arial"/>
                <w:color w:val="000000"/>
              </w:rPr>
              <w:t>Supérieure à 30 840 € et inférieure ou égale à 32 280 €</w:t>
            </w:r>
          </w:p>
        </w:tc>
        <w:tc>
          <w:tcPr>
            <w:tcW w:w="1845" w:type="dxa"/>
            <w:shd w:val="clear" w:color="auto" w:fill="EEEEEE"/>
            <w:tcMar>
              <w:top w:w="150" w:type="dxa"/>
              <w:left w:w="150" w:type="dxa"/>
              <w:bottom w:w="150" w:type="dxa"/>
              <w:right w:w="150" w:type="dxa"/>
            </w:tcMar>
            <w:vAlign w:val="center"/>
            <w:hideMark/>
          </w:tcPr>
          <w:p w14:paraId="7FCF116E" w14:textId="3809AE2A" w:rsidR="00B74DC7" w:rsidRPr="00B74DC7" w:rsidRDefault="00B74DC7" w:rsidP="00B74DC7">
            <w:pPr>
              <w:jc w:val="center"/>
              <w:rPr>
                <w:rFonts w:ascii="Arial" w:hAnsi="Arial" w:cs="Arial"/>
                <w:color w:val="000000"/>
              </w:rPr>
            </w:pPr>
            <w:r w:rsidRPr="00B74DC7">
              <w:rPr>
                <w:rFonts w:ascii="Arial" w:hAnsi="Arial" w:cs="Arial"/>
                <w:color w:val="000000"/>
              </w:rPr>
              <w:t>400 €</w:t>
            </w:r>
          </w:p>
        </w:tc>
        <w:tc>
          <w:tcPr>
            <w:tcW w:w="1701" w:type="dxa"/>
            <w:shd w:val="clear" w:color="auto" w:fill="EEEEEE"/>
          </w:tcPr>
          <w:p w14:paraId="73612F07" w14:textId="77777777" w:rsidR="00B74DC7" w:rsidRPr="00F67911" w:rsidRDefault="00B74DC7" w:rsidP="00B74DC7">
            <w:pPr>
              <w:jc w:val="center"/>
              <w:rPr>
                <w:rFonts w:ascii="Arial" w:hAnsi="Arial" w:cs="Arial"/>
                <w:color w:val="000000"/>
              </w:rPr>
            </w:pPr>
          </w:p>
        </w:tc>
      </w:tr>
      <w:tr w:rsidR="00B74DC7" w:rsidRPr="00B74DC7" w14:paraId="3D8D03DB" w14:textId="72560286" w:rsidTr="001B6B92">
        <w:tc>
          <w:tcPr>
            <w:tcW w:w="0" w:type="auto"/>
            <w:shd w:val="clear" w:color="auto" w:fill="F5F5F5"/>
            <w:tcMar>
              <w:top w:w="150" w:type="dxa"/>
              <w:left w:w="150" w:type="dxa"/>
              <w:bottom w:w="150" w:type="dxa"/>
              <w:right w:w="150" w:type="dxa"/>
            </w:tcMar>
            <w:vAlign w:val="center"/>
            <w:hideMark/>
          </w:tcPr>
          <w:p w14:paraId="3BEB323F" w14:textId="5E0FB975" w:rsidR="00B74DC7" w:rsidRPr="00B74DC7" w:rsidRDefault="00B74DC7" w:rsidP="00B74DC7">
            <w:pPr>
              <w:jc w:val="center"/>
              <w:rPr>
                <w:rFonts w:ascii="Arial" w:hAnsi="Arial" w:cs="Arial"/>
                <w:color w:val="000000"/>
              </w:rPr>
            </w:pPr>
            <w:r w:rsidRPr="00B74DC7">
              <w:rPr>
                <w:rFonts w:ascii="Arial" w:hAnsi="Arial" w:cs="Arial"/>
                <w:color w:val="000000"/>
              </w:rPr>
              <w:t>Supérieure à 32 280 € et inférieure ou égale à 33 600 €</w:t>
            </w:r>
          </w:p>
        </w:tc>
        <w:tc>
          <w:tcPr>
            <w:tcW w:w="1845" w:type="dxa"/>
            <w:shd w:val="clear" w:color="auto" w:fill="F5F5F5"/>
            <w:tcMar>
              <w:top w:w="150" w:type="dxa"/>
              <w:left w:w="150" w:type="dxa"/>
              <w:bottom w:w="150" w:type="dxa"/>
              <w:right w:w="150" w:type="dxa"/>
            </w:tcMar>
            <w:vAlign w:val="center"/>
            <w:hideMark/>
          </w:tcPr>
          <w:p w14:paraId="48F36C42" w14:textId="3BC70B77" w:rsidR="00B74DC7" w:rsidRPr="00B74DC7" w:rsidRDefault="00B74DC7" w:rsidP="00B74DC7">
            <w:pPr>
              <w:jc w:val="center"/>
              <w:rPr>
                <w:rFonts w:ascii="Arial" w:hAnsi="Arial" w:cs="Arial"/>
                <w:color w:val="000000"/>
              </w:rPr>
            </w:pPr>
            <w:r w:rsidRPr="00B74DC7">
              <w:rPr>
                <w:rFonts w:ascii="Arial" w:hAnsi="Arial" w:cs="Arial"/>
                <w:color w:val="000000"/>
              </w:rPr>
              <w:t>350 €</w:t>
            </w:r>
          </w:p>
        </w:tc>
        <w:tc>
          <w:tcPr>
            <w:tcW w:w="1701" w:type="dxa"/>
            <w:shd w:val="clear" w:color="auto" w:fill="F5F5F5"/>
          </w:tcPr>
          <w:p w14:paraId="68ABB4F4" w14:textId="77777777" w:rsidR="00B74DC7" w:rsidRPr="00F67911" w:rsidRDefault="00B74DC7" w:rsidP="00B74DC7">
            <w:pPr>
              <w:jc w:val="center"/>
              <w:rPr>
                <w:rFonts w:ascii="Arial" w:hAnsi="Arial" w:cs="Arial"/>
                <w:color w:val="000000"/>
              </w:rPr>
            </w:pPr>
          </w:p>
        </w:tc>
      </w:tr>
      <w:tr w:rsidR="00B74DC7" w:rsidRPr="00B74DC7" w14:paraId="1A4E5FDB" w14:textId="1E49F299" w:rsidTr="001B6B92">
        <w:tc>
          <w:tcPr>
            <w:tcW w:w="0" w:type="auto"/>
            <w:shd w:val="clear" w:color="auto" w:fill="EEEEEE"/>
            <w:tcMar>
              <w:top w:w="150" w:type="dxa"/>
              <w:left w:w="150" w:type="dxa"/>
              <w:bottom w:w="150" w:type="dxa"/>
              <w:right w:w="150" w:type="dxa"/>
            </w:tcMar>
            <w:vAlign w:val="center"/>
            <w:hideMark/>
          </w:tcPr>
          <w:p w14:paraId="65D9C744" w14:textId="76E46262" w:rsidR="00B74DC7" w:rsidRPr="00B74DC7" w:rsidRDefault="00B74DC7" w:rsidP="00B74DC7">
            <w:pPr>
              <w:jc w:val="center"/>
              <w:rPr>
                <w:rFonts w:ascii="Arial" w:hAnsi="Arial" w:cs="Arial"/>
                <w:color w:val="000000"/>
              </w:rPr>
            </w:pPr>
            <w:r w:rsidRPr="00B74DC7">
              <w:rPr>
                <w:rFonts w:ascii="Arial" w:hAnsi="Arial" w:cs="Arial"/>
                <w:color w:val="000000"/>
              </w:rPr>
              <w:t>Supérieure à 33 600 € et inférieure ou égale à 39 000 €</w:t>
            </w:r>
          </w:p>
        </w:tc>
        <w:tc>
          <w:tcPr>
            <w:tcW w:w="1845" w:type="dxa"/>
            <w:shd w:val="clear" w:color="auto" w:fill="EEEEEE"/>
            <w:tcMar>
              <w:top w:w="150" w:type="dxa"/>
              <w:left w:w="150" w:type="dxa"/>
              <w:bottom w:w="150" w:type="dxa"/>
              <w:right w:w="150" w:type="dxa"/>
            </w:tcMar>
            <w:vAlign w:val="center"/>
            <w:hideMark/>
          </w:tcPr>
          <w:p w14:paraId="6EBE6C51" w14:textId="1C4AA68E" w:rsidR="00B74DC7" w:rsidRPr="00B74DC7" w:rsidRDefault="00B74DC7" w:rsidP="00B74DC7">
            <w:pPr>
              <w:jc w:val="center"/>
              <w:rPr>
                <w:rFonts w:ascii="Arial" w:hAnsi="Arial" w:cs="Arial"/>
                <w:color w:val="000000"/>
              </w:rPr>
            </w:pPr>
            <w:r w:rsidRPr="00B74DC7">
              <w:rPr>
                <w:rFonts w:ascii="Arial" w:hAnsi="Arial" w:cs="Arial"/>
                <w:color w:val="000000"/>
              </w:rPr>
              <w:t>300 €</w:t>
            </w:r>
          </w:p>
        </w:tc>
        <w:tc>
          <w:tcPr>
            <w:tcW w:w="1701" w:type="dxa"/>
            <w:shd w:val="clear" w:color="auto" w:fill="EEEEEE"/>
          </w:tcPr>
          <w:p w14:paraId="15EC9806" w14:textId="77777777" w:rsidR="00B74DC7" w:rsidRPr="00F67911" w:rsidRDefault="00B74DC7" w:rsidP="00B74DC7">
            <w:pPr>
              <w:jc w:val="center"/>
              <w:rPr>
                <w:rFonts w:ascii="Arial" w:hAnsi="Arial" w:cs="Arial"/>
                <w:color w:val="000000"/>
              </w:rPr>
            </w:pPr>
          </w:p>
        </w:tc>
      </w:tr>
    </w:tbl>
    <w:p w14:paraId="15EA86B5" w14:textId="77777777" w:rsidR="00B74DC7" w:rsidRPr="00CD7940" w:rsidRDefault="00B74DC7" w:rsidP="00ED41A6">
      <w:pPr>
        <w:pStyle w:val="Paragraphedeliste"/>
        <w:tabs>
          <w:tab w:val="left" w:pos="5103"/>
        </w:tabs>
        <w:ind w:left="578"/>
        <w:rPr>
          <w:rFonts w:ascii="Calibri" w:hAnsi="Calibri" w:cs="Calibri"/>
          <w:color w:val="FF0000"/>
          <w:sz w:val="24"/>
          <w:szCs w:val="24"/>
        </w:rPr>
      </w:pPr>
    </w:p>
    <w:p w14:paraId="77165996" w14:textId="77777777" w:rsidR="00ED41A6" w:rsidRPr="00CD7940" w:rsidRDefault="00ED41A6" w:rsidP="00ED41A6">
      <w:pPr>
        <w:pStyle w:val="Paragraphedeliste"/>
        <w:tabs>
          <w:tab w:val="left" w:pos="5103"/>
        </w:tabs>
        <w:ind w:left="578"/>
        <w:rPr>
          <w:rFonts w:ascii="Calibri" w:hAnsi="Calibri" w:cs="Calibri"/>
          <w:color w:val="FF0000"/>
          <w:sz w:val="24"/>
          <w:szCs w:val="24"/>
        </w:rPr>
      </w:pPr>
    </w:p>
    <w:p w14:paraId="49041822" w14:textId="2B5070A7" w:rsidR="00ED41A6" w:rsidRPr="004B0D58" w:rsidRDefault="00ED41A6" w:rsidP="00ED41A6">
      <w:pPr>
        <w:pBdr>
          <w:top w:val="single" w:sz="4" w:space="1" w:color="auto"/>
          <w:left w:val="single" w:sz="4" w:space="4" w:color="auto"/>
          <w:bottom w:val="single" w:sz="4" w:space="1" w:color="auto"/>
          <w:right w:val="single" w:sz="4" w:space="4" w:color="auto"/>
        </w:pBdr>
        <w:tabs>
          <w:tab w:val="left" w:pos="5103"/>
        </w:tabs>
        <w:jc w:val="both"/>
        <w:rPr>
          <w:rFonts w:ascii="Calibri" w:hAnsi="Calibri" w:cs="Calibri"/>
          <w:i/>
          <w:iCs/>
          <w:sz w:val="24"/>
          <w:szCs w:val="24"/>
        </w:rPr>
      </w:pPr>
      <w:r w:rsidRPr="004B0D58">
        <w:rPr>
          <w:rFonts w:ascii="Calibri" w:hAnsi="Calibri" w:cs="Calibri"/>
          <w:b/>
          <w:bCs/>
          <w:i/>
          <w:iCs/>
          <w:sz w:val="24"/>
          <w:szCs w:val="24"/>
          <w:u w:val="single"/>
        </w:rPr>
        <w:lastRenderedPageBreak/>
        <w:t>Remarque</w:t>
      </w:r>
      <w:r w:rsidR="006C25AF" w:rsidRPr="004B0D58">
        <w:rPr>
          <w:rFonts w:ascii="Calibri" w:hAnsi="Calibri" w:cs="Calibri"/>
          <w:b/>
          <w:bCs/>
          <w:i/>
          <w:iCs/>
          <w:sz w:val="24"/>
          <w:szCs w:val="24"/>
          <w:u w:val="single"/>
        </w:rPr>
        <w:t>s</w:t>
      </w:r>
      <w:r w:rsidRPr="004B0D58">
        <w:rPr>
          <w:rFonts w:ascii="Calibri" w:hAnsi="Calibri" w:cs="Calibri"/>
          <w:b/>
          <w:bCs/>
          <w:i/>
          <w:iCs/>
          <w:sz w:val="24"/>
          <w:szCs w:val="24"/>
          <w:u w:val="single"/>
        </w:rPr>
        <w:t xml:space="preserve"> importante</w:t>
      </w:r>
      <w:r w:rsidR="006C25AF" w:rsidRPr="004B0D58">
        <w:rPr>
          <w:rFonts w:ascii="Calibri" w:hAnsi="Calibri" w:cs="Calibri"/>
          <w:b/>
          <w:bCs/>
          <w:i/>
          <w:iCs/>
          <w:sz w:val="24"/>
          <w:szCs w:val="24"/>
          <w:u w:val="single"/>
        </w:rPr>
        <w:t>s</w:t>
      </w:r>
      <w:r w:rsidRPr="004B0D58">
        <w:rPr>
          <w:rFonts w:ascii="Calibri" w:hAnsi="Calibri" w:cs="Calibri"/>
          <w:i/>
          <w:iCs/>
          <w:sz w:val="24"/>
          <w:szCs w:val="24"/>
        </w:rPr>
        <w:t> :</w:t>
      </w:r>
    </w:p>
    <w:p w14:paraId="39B30B48" w14:textId="77777777" w:rsidR="004B0D58" w:rsidRDefault="004B0D58" w:rsidP="00ED41A6">
      <w:pPr>
        <w:pBdr>
          <w:top w:val="single" w:sz="4" w:space="1" w:color="auto"/>
          <w:left w:val="single" w:sz="4" w:space="4" w:color="auto"/>
          <w:bottom w:val="single" w:sz="4" w:space="1" w:color="auto"/>
          <w:right w:val="single" w:sz="4" w:space="4" w:color="auto"/>
        </w:pBdr>
        <w:tabs>
          <w:tab w:val="left" w:pos="5103"/>
        </w:tabs>
        <w:jc w:val="both"/>
        <w:rPr>
          <w:rFonts w:ascii="Calibri" w:hAnsi="Calibri" w:cs="Calibri"/>
          <w:i/>
          <w:iCs/>
          <w:color w:val="FF0000"/>
          <w:sz w:val="24"/>
          <w:szCs w:val="24"/>
        </w:rPr>
      </w:pPr>
    </w:p>
    <w:p w14:paraId="2400C5D3" w14:textId="7D1D7E2B"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ne pas dépasser les montants plafonds prévus pour chacun des 7 niveaux</w:t>
      </w:r>
    </w:p>
    <w:p w14:paraId="4CB1F137" w14:textId="17CF95C7"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ne pas fixer un montant identique pour tous les niveaux</w:t>
      </w:r>
    </w:p>
    <w:p w14:paraId="7C211811" w14:textId="7AD9BC79"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respecter la dégressivité du montant de la prime par niveau de rémunération</w:t>
      </w:r>
    </w:p>
    <w:p w14:paraId="0A7A77C6" w14:textId="77777777" w:rsidR="000238A0" w:rsidRDefault="000238A0" w:rsidP="00ED41A6">
      <w:pPr>
        <w:pBdr>
          <w:top w:val="single" w:sz="4" w:space="1" w:color="auto"/>
          <w:left w:val="single" w:sz="4" w:space="4" w:color="auto"/>
          <w:bottom w:val="single" w:sz="4" w:space="1" w:color="auto"/>
          <w:right w:val="single" w:sz="4" w:space="4" w:color="auto"/>
        </w:pBdr>
        <w:tabs>
          <w:tab w:val="left" w:pos="5103"/>
        </w:tabs>
        <w:jc w:val="both"/>
        <w:rPr>
          <w:rFonts w:ascii="Calibri" w:hAnsi="Calibri" w:cs="Calibri"/>
          <w:i/>
          <w:iCs/>
          <w:color w:val="FF0000"/>
          <w:sz w:val="24"/>
          <w:szCs w:val="24"/>
        </w:rPr>
      </w:pPr>
    </w:p>
    <w:p w14:paraId="0970FA21" w14:textId="4B3CB285" w:rsidR="006C25AF" w:rsidRPr="006C25AF" w:rsidRDefault="006C25AF" w:rsidP="00ED41A6">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u w:val="single"/>
        </w:rPr>
      </w:pPr>
      <w:r w:rsidRPr="006C25AF">
        <w:rPr>
          <w:rFonts w:ascii="Arial" w:hAnsi="Arial" w:cs="Arial"/>
          <w:iCs/>
          <w:u w:val="single"/>
        </w:rPr>
        <w:t xml:space="preserve">Pour être éligible, </w:t>
      </w:r>
      <w:r w:rsidR="00366ED3">
        <w:rPr>
          <w:rFonts w:ascii="Arial" w:hAnsi="Arial" w:cs="Arial"/>
          <w:iCs/>
          <w:u w:val="single"/>
        </w:rPr>
        <w:t xml:space="preserve">les </w:t>
      </w:r>
      <w:r w:rsidRPr="006C25AF">
        <w:rPr>
          <w:rFonts w:ascii="Arial" w:hAnsi="Arial" w:cs="Arial"/>
          <w:iCs/>
          <w:u w:val="single"/>
        </w:rPr>
        <w:t>agent</w:t>
      </w:r>
      <w:r w:rsidR="00366ED3">
        <w:rPr>
          <w:rFonts w:ascii="Arial" w:hAnsi="Arial" w:cs="Arial"/>
          <w:iCs/>
          <w:u w:val="single"/>
        </w:rPr>
        <w:t>s</w:t>
      </w:r>
      <w:r w:rsidRPr="006C25AF">
        <w:rPr>
          <w:rFonts w:ascii="Arial" w:hAnsi="Arial" w:cs="Arial"/>
          <w:iCs/>
          <w:u w:val="single"/>
        </w:rPr>
        <w:t xml:space="preserve"> doi</w:t>
      </w:r>
      <w:r w:rsidR="00366ED3">
        <w:rPr>
          <w:rFonts w:ascii="Arial" w:hAnsi="Arial" w:cs="Arial"/>
          <w:iCs/>
          <w:u w:val="single"/>
        </w:rPr>
        <w:t>ven</w:t>
      </w:r>
      <w:r w:rsidRPr="006C25AF">
        <w:rPr>
          <w:rFonts w:ascii="Arial" w:hAnsi="Arial" w:cs="Arial"/>
          <w:iCs/>
          <w:u w:val="single"/>
        </w:rPr>
        <w:t>t cumulativement :</w:t>
      </w:r>
    </w:p>
    <w:p w14:paraId="023E0F8C" w14:textId="729981E3" w:rsid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sidRPr="006C25AF">
        <w:rPr>
          <w:rFonts w:ascii="Arial" w:hAnsi="Arial" w:cs="Arial"/>
          <w:iCs/>
        </w:rPr>
        <w:t>1.Avoir été nommés ou recrutés par une collectivité territoriale, un établissement public administratif à une date d'effet antérieure au 1er janvier 2023 ;</w:t>
      </w:r>
    </w:p>
    <w:p w14:paraId="781A414B" w14:textId="77777777"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p>
    <w:p w14:paraId="21E7254F" w14:textId="1FED80F7" w:rsid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sidRPr="006C25AF">
        <w:rPr>
          <w:rFonts w:ascii="Arial" w:hAnsi="Arial" w:cs="Arial"/>
          <w:iCs/>
        </w:rPr>
        <w:t xml:space="preserve">2.Etre employés et rémunérés par la commune (ou l’établissement) à la date du 30 juin 2023 ; </w:t>
      </w:r>
    </w:p>
    <w:p w14:paraId="385DCD7E" w14:textId="77777777"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p>
    <w:p w14:paraId="336BF91F" w14:textId="1E21424B" w:rsidR="000238A0"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sidRPr="006C25AF">
        <w:rPr>
          <w:rFonts w:ascii="Arial" w:hAnsi="Arial" w:cs="Arial"/>
          <w:iCs/>
        </w:rPr>
        <w:t>3.Avoir perçu une rémunération brute inférieure ou égale à 39 000 euros au titre de la période de référence courant du 1er juillet 2022 au 30 juin 2023.</w:t>
      </w:r>
    </w:p>
    <w:p w14:paraId="5A2E7C5B" w14:textId="77777777" w:rsid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p>
    <w:p w14:paraId="41BD61FD" w14:textId="77777777"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u w:val="single"/>
        </w:rPr>
      </w:pPr>
      <w:r w:rsidRPr="006C25AF">
        <w:rPr>
          <w:rFonts w:ascii="Arial" w:hAnsi="Arial" w:cs="Arial"/>
          <w:iCs/>
          <w:u w:val="single"/>
        </w:rPr>
        <w:t xml:space="preserve">Sont exclus du bénéfice de cette prime : </w:t>
      </w:r>
    </w:p>
    <w:p w14:paraId="19650699" w14:textId="2B1875D9"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les agents contractuels de droit privé ;</w:t>
      </w:r>
    </w:p>
    <w:p w14:paraId="53BACD55" w14:textId="66195BEE"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les vacataires ;</w:t>
      </w:r>
    </w:p>
    <w:p w14:paraId="40642719" w14:textId="7A0B18BD"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les apprentis ;</w:t>
      </w:r>
    </w:p>
    <w:p w14:paraId="5D3CAF2A" w14:textId="07DE859F" w:rsidR="006C25AF" w:rsidRP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les stagiaires gratifiés ;</w:t>
      </w:r>
    </w:p>
    <w:p w14:paraId="21F2F2EF" w14:textId="137A9747" w:rsid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r>
        <w:rPr>
          <w:rFonts w:ascii="Arial" w:hAnsi="Arial" w:cs="Arial"/>
          <w:iCs/>
        </w:rPr>
        <w:t>-</w:t>
      </w:r>
      <w:r w:rsidRPr="006C25AF">
        <w:rPr>
          <w:rFonts w:ascii="Arial" w:hAnsi="Arial" w:cs="Arial"/>
          <w:iCs/>
        </w:rPr>
        <w:t>les personnels éligibles à la prime de partage de la valeur prévue au I de l'article 1er de la loi n° 2022-1158 du 16 août 2022.</w:t>
      </w:r>
    </w:p>
    <w:p w14:paraId="446392FF" w14:textId="77777777" w:rsid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p>
    <w:p w14:paraId="314ED98C" w14:textId="77777777" w:rsidR="006C25AF" w:rsidRDefault="006C25AF" w:rsidP="006C25AF">
      <w:pPr>
        <w:pBdr>
          <w:top w:val="single" w:sz="4" w:space="1" w:color="auto"/>
          <w:left w:val="single" w:sz="4" w:space="4" w:color="auto"/>
          <w:bottom w:val="single" w:sz="4" w:space="1" w:color="auto"/>
          <w:right w:val="single" w:sz="4" w:space="4" w:color="auto"/>
        </w:pBdr>
        <w:tabs>
          <w:tab w:val="left" w:pos="5103"/>
        </w:tabs>
        <w:jc w:val="both"/>
        <w:rPr>
          <w:rFonts w:ascii="Arial" w:hAnsi="Arial" w:cs="Arial"/>
          <w:iCs/>
        </w:rPr>
      </w:pPr>
    </w:p>
    <w:p w14:paraId="4AB7EE4A" w14:textId="77777777" w:rsidR="000238A0" w:rsidRPr="00CD7940" w:rsidRDefault="000238A0">
      <w:pPr>
        <w:rPr>
          <w:color w:val="FF0000"/>
        </w:rPr>
      </w:pPr>
    </w:p>
    <w:p w14:paraId="53B169C8" w14:textId="5833FB17" w:rsidR="00ED41A6" w:rsidRPr="00CD7940" w:rsidRDefault="00ED41A6">
      <w:pPr>
        <w:rPr>
          <w:color w:val="FF0000"/>
        </w:rPr>
      </w:pPr>
    </w:p>
    <w:p w14:paraId="5D348E99" w14:textId="77777777" w:rsidR="00ED41A6" w:rsidRPr="00CD7940" w:rsidRDefault="00ED41A6">
      <w:pPr>
        <w:rPr>
          <w:color w:val="FF0000"/>
        </w:rPr>
      </w:pPr>
    </w:p>
    <w:p w14:paraId="68B68517" w14:textId="77777777" w:rsidR="004715D7" w:rsidRPr="004B0D58" w:rsidRDefault="004715D7" w:rsidP="001C69B1">
      <w:pPr>
        <w:tabs>
          <w:tab w:val="left" w:pos="6521"/>
        </w:tabs>
        <w:ind w:left="3540" w:hanging="3540"/>
        <w:rPr>
          <w:rFonts w:ascii="Arial" w:hAnsi="Arial" w:cs="Arial"/>
          <w:b/>
        </w:rPr>
      </w:pPr>
      <w:r w:rsidRPr="004B0D58">
        <w:rPr>
          <w:rFonts w:ascii="Arial" w:hAnsi="Arial" w:cs="Arial"/>
          <w:b/>
        </w:rPr>
        <w:t>Fait à ……………………………………</w:t>
      </w:r>
      <w:r w:rsidRPr="004B0D58">
        <w:rPr>
          <w:rFonts w:ascii="Arial" w:hAnsi="Arial" w:cs="Arial"/>
          <w:b/>
        </w:rPr>
        <w:tab/>
      </w:r>
      <w:r w:rsidR="001C69B1" w:rsidRPr="004B0D58">
        <w:rPr>
          <w:rFonts w:ascii="Arial" w:hAnsi="Arial" w:cs="Arial"/>
          <w:b/>
        </w:rPr>
        <w:t xml:space="preserve">                        </w:t>
      </w:r>
      <w:r w:rsidRPr="004B0D58">
        <w:rPr>
          <w:rFonts w:ascii="Arial" w:hAnsi="Arial" w:cs="Arial"/>
          <w:b/>
        </w:rPr>
        <w:t>Cachet et signature de l’autorité territoriale</w:t>
      </w:r>
    </w:p>
    <w:p w14:paraId="3D1CA91C" w14:textId="77777777" w:rsidR="004715D7" w:rsidRPr="004B0D58" w:rsidRDefault="004715D7" w:rsidP="004715D7">
      <w:pPr>
        <w:tabs>
          <w:tab w:val="left" w:pos="0"/>
        </w:tabs>
        <w:rPr>
          <w:rFonts w:ascii="Arial" w:hAnsi="Arial" w:cs="Arial"/>
          <w:b/>
        </w:rPr>
      </w:pPr>
      <w:r w:rsidRPr="004B0D58">
        <w:rPr>
          <w:rFonts w:ascii="Arial" w:hAnsi="Arial" w:cs="Arial"/>
          <w:b/>
        </w:rPr>
        <w:t>Le…………………</w:t>
      </w:r>
      <w:proofErr w:type="gramStart"/>
      <w:r w:rsidRPr="004B0D58">
        <w:rPr>
          <w:rFonts w:ascii="Arial" w:hAnsi="Arial" w:cs="Arial"/>
          <w:b/>
        </w:rPr>
        <w:t>…….</w:t>
      </w:r>
      <w:proofErr w:type="gramEnd"/>
      <w:r w:rsidRPr="004B0D58">
        <w:rPr>
          <w:rFonts w:ascii="Arial" w:hAnsi="Arial" w:cs="Arial"/>
          <w:b/>
        </w:rPr>
        <w:t>.………………</w:t>
      </w:r>
    </w:p>
    <w:p w14:paraId="0F906447" w14:textId="77777777" w:rsidR="004715D7" w:rsidRPr="004B0D58" w:rsidRDefault="004715D7" w:rsidP="004715D7">
      <w:pPr>
        <w:rPr>
          <w:rFonts w:ascii="Arial" w:hAnsi="Arial" w:cs="Arial"/>
          <w:b/>
          <w:sz w:val="10"/>
          <w:szCs w:val="10"/>
        </w:rPr>
      </w:pPr>
    </w:p>
    <w:p w14:paraId="3163A7C0" w14:textId="473C1435" w:rsidR="004715D7" w:rsidRPr="00CD7940" w:rsidRDefault="004715D7">
      <w:pPr>
        <w:rPr>
          <w:color w:val="FF0000"/>
        </w:rPr>
      </w:pPr>
    </w:p>
    <w:p w14:paraId="66E01190" w14:textId="3D0EB920" w:rsidR="000874B6" w:rsidRPr="00CD7940" w:rsidRDefault="000874B6">
      <w:pPr>
        <w:rPr>
          <w:color w:val="FF0000"/>
        </w:rPr>
      </w:pPr>
    </w:p>
    <w:p w14:paraId="78E0C51B" w14:textId="61F69DC2" w:rsidR="000874B6" w:rsidRPr="00CD7940" w:rsidRDefault="000874B6">
      <w:pPr>
        <w:rPr>
          <w:color w:val="FF0000"/>
        </w:rPr>
      </w:pPr>
    </w:p>
    <w:p w14:paraId="4D0F0C8B" w14:textId="55610E01" w:rsidR="000874B6" w:rsidRPr="00CD7940" w:rsidRDefault="000874B6">
      <w:pPr>
        <w:rPr>
          <w:color w:val="FF0000"/>
        </w:rPr>
      </w:pPr>
    </w:p>
    <w:p w14:paraId="07633095" w14:textId="034B6D0B" w:rsidR="000874B6" w:rsidRPr="00CD7940" w:rsidRDefault="000874B6">
      <w:pPr>
        <w:rPr>
          <w:color w:val="FF0000"/>
        </w:rPr>
      </w:pPr>
    </w:p>
    <w:p w14:paraId="7FA2F936" w14:textId="2A3F91FE" w:rsidR="000874B6" w:rsidRPr="00CD7940" w:rsidRDefault="000874B6">
      <w:pPr>
        <w:rPr>
          <w:color w:val="FF0000"/>
        </w:rPr>
      </w:pPr>
    </w:p>
    <w:p w14:paraId="63D0941D" w14:textId="53CF0A61" w:rsidR="000874B6" w:rsidRPr="00CD7940" w:rsidRDefault="000874B6">
      <w:pPr>
        <w:rPr>
          <w:color w:val="FF0000"/>
        </w:rPr>
      </w:pPr>
    </w:p>
    <w:p w14:paraId="48CE1004" w14:textId="24494F0F" w:rsidR="000874B6" w:rsidRPr="00CD7940" w:rsidRDefault="000874B6">
      <w:pPr>
        <w:rPr>
          <w:color w:val="FF0000"/>
        </w:rPr>
      </w:pPr>
    </w:p>
    <w:p w14:paraId="2B6AB19E" w14:textId="372CB298" w:rsidR="000874B6" w:rsidRPr="00CD7940" w:rsidRDefault="000874B6">
      <w:pPr>
        <w:rPr>
          <w:color w:val="FF0000"/>
        </w:rPr>
      </w:pPr>
    </w:p>
    <w:p w14:paraId="3CDECBAE" w14:textId="4A38B7AA" w:rsidR="000874B6" w:rsidRDefault="000874B6"/>
    <w:p w14:paraId="7CEACC58" w14:textId="56AE5922" w:rsidR="000874B6" w:rsidRDefault="000874B6"/>
    <w:p w14:paraId="799E4F48" w14:textId="49546681" w:rsidR="000874B6" w:rsidRDefault="000874B6"/>
    <w:p w14:paraId="45ED4BB0" w14:textId="3B7D7D33" w:rsidR="000874B6" w:rsidRDefault="000874B6"/>
    <w:p w14:paraId="5838D455" w14:textId="1736B3AC" w:rsidR="000874B6" w:rsidRDefault="000874B6"/>
    <w:p w14:paraId="28978B74" w14:textId="58CD9CEF" w:rsidR="000874B6" w:rsidRDefault="000874B6"/>
    <w:p w14:paraId="630A54B7" w14:textId="6609D7C7" w:rsidR="000874B6" w:rsidRDefault="000874B6"/>
    <w:p w14:paraId="22A7DE96" w14:textId="1D12EC8C" w:rsidR="000874B6" w:rsidRDefault="000874B6"/>
    <w:p w14:paraId="7A097858" w14:textId="585ABEBB" w:rsidR="000874B6" w:rsidRDefault="000874B6"/>
    <w:p w14:paraId="2C53E207" w14:textId="2912F512" w:rsidR="000874B6" w:rsidRDefault="000874B6"/>
    <w:p w14:paraId="575074CD" w14:textId="449DBE54" w:rsidR="000874B6" w:rsidRDefault="000874B6"/>
    <w:p w14:paraId="729B7EE5" w14:textId="526003FD" w:rsidR="000874B6" w:rsidRDefault="000874B6"/>
    <w:p w14:paraId="4885D0DC" w14:textId="50AA5A7E" w:rsidR="000874B6" w:rsidRDefault="000874B6"/>
    <w:p w14:paraId="31B1308E" w14:textId="75A07F11" w:rsidR="000874B6" w:rsidRDefault="000874B6"/>
    <w:p w14:paraId="293793F5" w14:textId="77777777" w:rsidR="000874B6" w:rsidRDefault="000874B6"/>
    <w:p w14:paraId="51C2C7B5" w14:textId="6B2B78A4" w:rsidR="000874B6" w:rsidRPr="0074227A" w:rsidRDefault="000874B6" w:rsidP="000874B6">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la protection sociale complémentaire</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128D95E6" w14:textId="5433DD51" w:rsidR="000874B6" w:rsidRPr="000874B6" w:rsidRDefault="000874B6" w:rsidP="000874B6">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0874B6" w:rsidRPr="000874B6" w:rsidSect="005E7302">
      <w:headerReference w:type="default" r:id="rId9"/>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365F" w14:textId="77777777" w:rsidR="003E0270" w:rsidRDefault="003E0270" w:rsidP="004715D7">
      <w:r>
        <w:separator/>
      </w:r>
    </w:p>
  </w:endnote>
  <w:endnote w:type="continuationSeparator" w:id="0">
    <w:p w14:paraId="37825C45" w14:textId="77777777" w:rsidR="003E0270" w:rsidRDefault="003E0270"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56F64"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178F5"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5E13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6ECB" w14:textId="77777777" w:rsidR="003E0270" w:rsidRDefault="003E0270" w:rsidP="004715D7">
      <w:r>
        <w:separator/>
      </w:r>
    </w:p>
  </w:footnote>
  <w:footnote w:type="continuationSeparator" w:id="0">
    <w:p w14:paraId="3879CDF9" w14:textId="77777777" w:rsidR="003E0270" w:rsidRDefault="003E0270"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709DC1"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3DCF"/>
    <w:multiLevelType w:val="hybridMultilevel"/>
    <w:tmpl w:val="F872BD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2"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15:restartNumberingAfterBreak="0">
    <w:nsid w:val="37E33123"/>
    <w:multiLevelType w:val="hybridMultilevel"/>
    <w:tmpl w:val="A63A9E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6"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8E704D"/>
    <w:multiLevelType w:val="hybridMultilevel"/>
    <w:tmpl w:val="04B26F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7"/>
  </w:num>
  <w:num w:numId="2" w16cid:durableId="656542656">
    <w:abstractNumId w:val="1"/>
  </w:num>
  <w:num w:numId="3" w16cid:durableId="1245335187">
    <w:abstractNumId w:val="2"/>
  </w:num>
  <w:num w:numId="4" w16cid:durableId="2098362723">
    <w:abstractNumId w:val="6"/>
  </w:num>
  <w:num w:numId="5" w16cid:durableId="1178691077">
    <w:abstractNumId w:val="3"/>
  </w:num>
  <w:num w:numId="6" w16cid:durableId="602151193">
    <w:abstractNumId w:val="5"/>
  </w:num>
  <w:num w:numId="7" w16cid:durableId="338235809">
    <w:abstractNumId w:val="9"/>
  </w:num>
  <w:num w:numId="8" w16cid:durableId="2002393026">
    <w:abstractNumId w:val="0"/>
  </w:num>
  <w:num w:numId="9" w16cid:durableId="1522009790">
    <w:abstractNumId w:val="4"/>
  </w:num>
  <w:num w:numId="10" w16cid:durableId="1441603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238A0"/>
    <w:rsid w:val="00030663"/>
    <w:rsid w:val="000874B6"/>
    <w:rsid w:val="00140187"/>
    <w:rsid w:val="00146BE4"/>
    <w:rsid w:val="00155120"/>
    <w:rsid w:val="00160A1B"/>
    <w:rsid w:val="001B6B92"/>
    <w:rsid w:val="001C69B1"/>
    <w:rsid w:val="001E0700"/>
    <w:rsid w:val="001F0BC0"/>
    <w:rsid w:val="00221F82"/>
    <w:rsid w:val="00222DA7"/>
    <w:rsid w:val="00234465"/>
    <w:rsid w:val="002412C6"/>
    <w:rsid w:val="00280F2C"/>
    <w:rsid w:val="002F71AB"/>
    <w:rsid w:val="00366ED3"/>
    <w:rsid w:val="003C0DF3"/>
    <w:rsid w:val="003C3C1C"/>
    <w:rsid w:val="003D1A81"/>
    <w:rsid w:val="003E0270"/>
    <w:rsid w:val="003F0B99"/>
    <w:rsid w:val="00415992"/>
    <w:rsid w:val="00437603"/>
    <w:rsid w:val="00466A2D"/>
    <w:rsid w:val="004715D7"/>
    <w:rsid w:val="0048004D"/>
    <w:rsid w:val="0049461E"/>
    <w:rsid w:val="00497D17"/>
    <w:rsid w:val="004A02EC"/>
    <w:rsid w:val="004B0D58"/>
    <w:rsid w:val="004D7436"/>
    <w:rsid w:val="004F4CDD"/>
    <w:rsid w:val="0052195F"/>
    <w:rsid w:val="005456FA"/>
    <w:rsid w:val="00552564"/>
    <w:rsid w:val="005A4741"/>
    <w:rsid w:val="005E7302"/>
    <w:rsid w:val="006A66A9"/>
    <w:rsid w:val="006C25AF"/>
    <w:rsid w:val="007D130D"/>
    <w:rsid w:val="00834C3F"/>
    <w:rsid w:val="008C1F2C"/>
    <w:rsid w:val="00927BA2"/>
    <w:rsid w:val="00956A4E"/>
    <w:rsid w:val="00A57519"/>
    <w:rsid w:val="00AD1D3D"/>
    <w:rsid w:val="00B21994"/>
    <w:rsid w:val="00B74DC7"/>
    <w:rsid w:val="00BB076A"/>
    <w:rsid w:val="00C03036"/>
    <w:rsid w:val="00C4418B"/>
    <w:rsid w:val="00C86AF3"/>
    <w:rsid w:val="00CB56E3"/>
    <w:rsid w:val="00CD7940"/>
    <w:rsid w:val="00CE50E5"/>
    <w:rsid w:val="00D4608E"/>
    <w:rsid w:val="00E273ED"/>
    <w:rsid w:val="00E36C7B"/>
    <w:rsid w:val="00ED41A6"/>
    <w:rsid w:val="00F21580"/>
    <w:rsid w:val="00F43793"/>
    <w:rsid w:val="00F67911"/>
    <w:rsid w:val="00FA2F5D"/>
    <w:rsid w:val="00FC6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RGPDCar">
    <w:name w:val="Normal RGPD Car"/>
    <w:link w:val="NormalRGPD"/>
    <w:locked/>
    <w:rsid w:val="000874B6"/>
    <w:rPr>
      <w:color w:val="002060"/>
    </w:rPr>
  </w:style>
  <w:style w:type="paragraph" w:customStyle="1" w:styleId="NormalRGPD">
    <w:name w:val="Normal RGPD"/>
    <w:basedOn w:val="Normal"/>
    <w:link w:val="NormalRGPDCar"/>
    <w:qFormat/>
    <w:rsid w:val="000874B6"/>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1124077315">
      <w:bodyDiv w:val="1"/>
      <w:marLeft w:val="0"/>
      <w:marRight w:val="0"/>
      <w:marTop w:val="0"/>
      <w:marBottom w:val="0"/>
      <w:divBdr>
        <w:top w:val="none" w:sz="0" w:space="0" w:color="auto"/>
        <w:left w:val="none" w:sz="0" w:space="0" w:color="auto"/>
        <w:bottom w:val="none" w:sz="0" w:space="0" w:color="auto"/>
        <w:right w:val="none" w:sz="0" w:space="0" w:color="auto"/>
      </w:divBdr>
    </w:div>
    <w:div w:id="2027058058">
      <w:bodyDiv w:val="1"/>
      <w:marLeft w:val="0"/>
      <w:marRight w:val="0"/>
      <w:marTop w:val="0"/>
      <w:marBottom w:val="0"/>
      <w:divBdr>
        <w:top w:val="none" w:sz="0" w:space="0" w:color="auto"/>
        <w:left w:val="none" w:sz="0" w:space="0" w:color="auto"/>
        <w:bottom w:val="none" w:sz="0" w:space="0" w:color="auto"/>
        <w:right w:val="none" w:sz="0" w:space="0" w:color="auto"/>
      </w:divBdr>
    </w:div>
    <w:div w:id="210950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MONSERAT Laurent</cp:lastModifiedBy>
  <cp:revision>2</cp:revision>
  <dcterms:created xsi:type="dcterms:W3CDTF">2023-11-07T17:12:00Z</dcterms:created>
  <dcterms:modified xsi:type="dcterms:W3CDTF">2023-11-07T17:12:00Z</dcterms:modified>
</cp:coreProperties>
</file>