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0894E6AD">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C91690">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1B8DB6B5" w14:textId="77777777" w:rsidR="00C91690" w:rsidRDefault="004715D7" w:rsidP="00F21580">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1456D6E7" w14:textId="77777777" w:rsidR="00C91690" w:rsidRDefault="00C91690" w:rsidP="00F21580">
            <w:pPr>
              <w:tabs>
                <w:tab w:val="left" w:pos="780"/>
                <w:tab w:val="left" w:pos="6379"/>
                <w:tab w:val="left" w:pos="6946"/>
              </w:tabs>
              <w:ind w:right="-1"/>
              <w:jc w:val="center"/>
              <w:rPr>
                <w:rFonts w:ascii="Arial Narrow" w:hAnsi="Arial Narrow" w:cs="Arial"/>
                <w:b/>
                <w:bCs/>
                <w:color w:val="FFFFFF"/>
                <w:sz w:val="34"/>
              </w:rPr>
            </w:pPr>
          </w:p>
          <w:p w14:paraId="6392F1BE" w14:textId="7955BE02" w:rsidR="004715D7" w:rsidRPr="004715D7" w:rsidRDefault="00741FC5" w:rsidP="00F21580">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Télétravail</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A40207">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A40207">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53420372" w14:textId="77777777" w:rsidR="00D73FD3" w:rsidRPr="004715D7" w:rsidRDefault="00D73FD3" w:rsidP="00D73FD3">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268AFDDD" w14:textId="77777777" w:rsidR="00D73FD3" w:rsidRPr="004715D7" w:rsidRDefault="00D73FD3" w:rsidP="00D73FD3">
            <w:pPr>
              <w:jc w:val="center"/>
              <w:rPr>
                <w:rFonts w:ascii="Arial" w:hAnsi="Arial" w:cs="Arial"/>
                <w:color w:val="808080"/>
                <w:sz w:val="18"/>
              </w:rPr>
            </w:pPr>
            <w:r w:rsidRPr="004715D7">
              <w:rPr>
                <w:rFonts w:ascii="Arial" w:hAnsi="Arial" w:cs="Arial"/>
                <w:color w:val="808080"/>
                <w:sz w:val="18"/>
              </w:rPr>
              <w:t>85 Avenue Claude Bernard</w:t>
            </w:r>
          </w:p>
          <w:p w14:paraId="3D39CBC5" w14:textId="77777777" w:rsidR="00D73FD3" w:rsidRPr="004715D7" w:rsidRDefault="00D73FD3" w:rsidP="00D73FD3">
            <w:pPr>
              <w:jc w:val="center"/>
              <w:rPr>
                <w:rFonts w:ascii="Arial" w:hAnsi="Arial" w:cs="Arial"/>
                <w:color w:val="808080"/>
                <w:sz w:val="18"/>
              </w:rPr>
            </w:pPr>
            <w:r w:rsidRPr="004715D7">
              <w:rPr>
                <w:rFonts w:ascii="Arial" w:hAnsi="Arial" w:cs="Arial"/>
                <w:color w:val="808080"/>
                <w:sz w:val="18"/>
              </w:rPr>
              <w:t>CS 60050</w:t>
            </w:r>
          </w:p>
          <w:p w14:paraId="6D4B1F27" w14:textId="77777777" w:rsidR="00D73FD3" w:rsidRDefault="00D73FD3" w:rsidP="00D73FD3">
            <w:pPr>
              <w:jc w:val="center"/>
              <w:rPr>
                <w:rFonts w:ascii="Arial" w:hAnsi="Arial" w:cs="Arial"/>
                <w:color w:val="808080"/>
                <w:sz w:val="18"/>
              </w:rPr>
            </w:pPr>
            <w:r w:rsidRPr="004715D7">
              <w:rPr>
                <w:rFonts w:ascii="Arial" w:hAnsi="Arial" w:cs="Arial"/>
                <w:color w:val="808080"/>
                <w:sz w:val="18"/>
              </w:rPr>
              <w:t>11890 CARCASSONNE CEDEX</w:t>
            </w:r>
          </w:p>
          <w:p w14:paraId="75F70C28" w14:textId="77777777" w:rsidR="00D73FD3" w:rsidRDefault="00D73FD3" w:rsidP="00D73FD3">
            <w:pPr>
              <w:jc w:val="center"/>
              <w:rPr>
                <w:rFonts w:ascii="Arial" w:hAnsi="Arial" w:cs="Arial"/>
                <w:color w:val="808080"/>
                <w:sz w:val="18"/>
              </w:rPr>
            </w:pPr>
          </w:p>
          <w:p w14:paraId="219A5770" w14:textId="77777777" w:rsidR="00D73FD3" w:rsidRPr="004715D7" w:rsidRDefault="00D73FD3" w:rsidP="00D73FD3">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1A16DB42" w14:textId="26FBFD87" w:rsidR="00C91690" w:rsidRDefault="00C91690" w:rsidP="00C91690">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79E62FAA" w14:textId="77777777" w:rsidR="00C91690" w:rsidRPr="00490B13" w:rsidRDefault="00C91690" w:rsidP="00C91690">
            <w:pPr>
              <w:spacing w:before="120" w:after="120"/>
              <w:rPr>
                <w:rFonts w:ascii="Arial" w:hAnsi="Arial" w:cs="Arial"/>
                <w:b/>
                <w:iCs/>
              </w:rPr>
            </w:pPr>
            <w:r w:rsidRPr="00490B13">
              <w:rPr>
                <w:rFonts w:ascii="Arial" w:hAnsi="Arial" w:cs="Arial"/>
                <w:b/>
                <w:iCs/>
              </w:rPr>
              <w:t>Coordonnées de la personne en charge du dossier :</w:t>
            </w:r>
          </w:p>
          <w:p w14:paraId="0EBF91E9" w14:textId="77777777" w:rsidR="00C91690" w:rsidRPr="00490B13" w:rsidRDefault="00C91690" w:rsidP="00C91690">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664D4294" w:rsidR="004715D7" w:rsidRPr="004715D7" w:rsidRDefault="00C91690" w:rsidP="00C91690">
            <w:pPr>
              <w:spacing w:before="120" w:after="120"/>
              <w:rPr>
                <w:rFonts w:ascii="Arial" w:hAnsi="Arial" w:cs="Arial"/>
                <w:b/>
                <w:bCs/>
              </w:rPr>
            </w:pPr>
            <w:r w:rsidRPr="00490B13">
              <w:rPr>
                <w:rFonts w:ascii="Arial" w:hAnsi="Arial" w:cs="Arial"/>
                <w:b/>
                <w:iCs/>
              </w:rPr>
              <w:t>Téléphone : ………………………… Mail : ………………………………</w:t>
            </w:r>
            <w:proofErr w:type="gramStart"/>
            <w:r w:rsidRPr="00490B13">
              <w:rPr>
                <w:rFonts w:ascii="Arial" w:hAnsi="Arial" w:cs="Arial"/>
                <w:b/>
                <w:iCs/>
              </w:rPr>
              <w:t>…</w:t>
            </w:r>
            <w:r>
              <w:rPr>
                <w:rFonts w:ascii="Arial" w:hAnsi="Arial" w:cs="Arial"/>
                <w:b/>
                <w:iCs/>
              </w:rPr>
              <w:t>….</w:t>
            </w:r>
            <w:proofErr w:type="gramEnd"/>
          </w:p>
        </w:tc>
      </w:tr>
      <w:tr w:rsidR="004715D7" w:rsidRPr="004715D7" w14:paraId="1E8D1755" w14:textId="77777777" w:rsidTr="00A40207">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A40207">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405" w:type="dxa"/>
            <w:gridSpan w:val="2"/>
            <w:tcBorders>
              <w:top w:val="double" w:sz="4" w:space="0" w:color="666699"/>
              <w:bottom w:val="double" w:sz="4" w:space="0" w:color="666699"/>
            </w:tcBorders>
            <w:shd w:val="clear" w:color="auto" w:fill="FFFFFF"/>
            <w:vAlign w:val="center"/>
          </w:tcPr>
          <w:p w14:paraId="25C4C85C" w14:textId="7B51CFC6" w:rsidR="003A6F83" w:rsidRPr="00EC500F" w:rsidRDefault="004715D7" w:rsidP="00C91690">
            <w:pPr>
              <w:rPr>
                <w:rFonts w:ascii="Arial" w:hAnsi="Arial" w:cs="Arial"/>
                <w:b/>
                <w:iCs/>
                <w:caps/>
                <w:color w:val="000000"/>
              </w:rPr>
            </w:pPr>
            <w:r w:rsidRPr="004715D7">
              <w:rPr>
                <w:rFonts w:ascii="Arial" w:hAnsi="Arial" w:cs="Arial"/>
                <w:b/>
                <w:iCs/>
                <w:caps/>
                <w:color w:val="000000"/>
              </w:rPr>
              <w:t>Pi</w:t>
            </w:r>
            <w:r w:rsidR="003A6F83">
              <w:rPr>
                <w:rFonts w:ascii="Arial" w:hAnsi="Arial" w:cs="Arial"/>
                <w:b/>
                <w:iCs/>
                <w:caps/>
                <w:color w:val="000000"/>
              </w:rPr>
              <w:t>È</w:t>
            </w:r>
            <w:r w:rsidRPr="004715D7">
              <w:rPr>
                <w:rFonts w:ascii="Arial" w:hAnsi="Arial" w:cs="Arial"/>
                <w:b/>
                <w:iCs/>
                <w:caps/>
                <w:color w:val="000000"/>
              </w:rPr>
              <w:t xml:space="preserve">ces a joindre : </w:t>
            </w:r>
            <w:r w:rsidR="00F21580">
              <w:rPr>
                <w:rFonts w:ascii="Arial" w:hAnsi="Arial" w:cs="Arial"/>
                <w:b/>
                <w:iCs/>
                <w:caps/>
                <w:color w:val="000000"/>
              </w:rPr>
              <w:t xml:space="preserve">- </w:t>
            </w:r>
            <w:r w:rsidRPr="004715D7">
              <w:rPr>
                <w:rFonts w:ascii="Arial" w:hAnsi="Arial" w:cs="Arial"/>
                <w:b/>
                <w:iCs/>
                <w:caps/>
                <w:color w:val="000000"/>
              </w:rPr>
              <w:t xml:space="preserve">projet de </w:t>
            </w:r>
            <w:r w:rsidR="00F24A7A">
              <w:rPr>
                <w:rFonts w:ascii="Arial" w:hAnsi="Arial" w:cs="Arial"/>
                <w:b/>
                <w:iCs/>
                <w:caps/>
                <w:color w:val="000000"/>
              </w:rPr>
              <w:t>dÉLIBERATION</w:t>
            </w: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1857E150" w:rsidR="004715D7" w:rsidRDefault="004715D7" w:rsidP="004715D7">
      <w:pPr>
        <w:rPr>
          <w:rFonts w:ascii="Arial" w:hAnsi="Arial" w:cs="Arial"/>
          <w:color w:val="666699"/>
          <w:sz w:val="2"/>
          <w:szCs w:val="2"/>
        </w:rPr>
      </w:pPr>
    </w:p>
    <w:p w14:paraId="7E6B7C4C" w14:textId="7C8C5F53" w:rsidR="00274D0F" w:rsidRDefault="00274D0F" w:rsidP="004715D7">
      <w:pPr>
        <w:rPr>
          <w:rFonts w:ascii="Arial" w:hAnsi="Arial" w:cs="Arial"/>
          <w:color w:val="666699"/>
          <w:sz w:val="2"/>
          <w:szCs w:val="2"/>
        </w:rPr>
      </w:pPr>
    </w:p>
    <w:p w14:paraId="3031ECC3" w14:textId="0654C731" w:rsidR="00274D0F" w:rsidRDefault="00274D0F" w:rsidP="004715D7">
      <w:pPr>
        <w:rPr>
          <w:rFonts w:ascii="Arial" w:hAnsi="Arial" w:cs="Arial"/>
          <w:color w:val="666699"/>
          <w:sz w:val="2"/>
          <w:szCs w:val="2"/>
        </w:rPr>
      </w:pPr>
    </w:p>
    <w:p w14:paraId="7D6A47D0" w14:textId="77777777" w:rsidR="00274D0F" w:rsidRDefault="00274D0F" w:rsidP="004715D7">
      <w:pPr>
        <w:rPr>
          <w:rFonts w:ascii="Arial" w:hAnsi="Arial" w:cs="Arial"/>
          <w:color w:val="666699"/>
          <w:sz w:val="2"/>
          <w:szCs w:val="2"/>
        </w:rPr>
      </w:pPr>
    </w:p>
    <w:p w14:paraId="344F82A3" w14:textId="77777777" w:rsidR="00B55D07" w:rsidRPr="00F37681" w:rsidRDefault="00B55D07" w:rsidP="00A40207">
      <w:pPr>
        <w:pBdr>
          <w:top w:val="single" w:sz="4" w:space="1" w:color="auto"/>
          <w:left w:val="single" w:sz="4" w:space="4" w:color="auto"/>
          <w:bottom w:val="single" w:sz="4" w:space="1" w:color="auto"/>
          <w:right w:val="single" w:sz="4" w:space="4" w:color="auto"/>
        </w:pBdr>
        <w:ind w:left="-426" w:right="-568"/>
        <w:jc w:val="both"/>
        <w:rPr>
          <w:rFonts w:ascii="Arial" w:eastAsia="Calibri" w:hAnsi="Arial" w:cs="Arial"/>
          <w:sz w:val="18"/>
          <w:szCs w:val="18"/>
        </w:rPr>
      </w:pPr>
      <w:r w:rsidRPr="00F37681">
        <w:rPr>
          <w:rFonts w:ascii="Arial" w:eastAsia="Calibri" w:hAnsi="Arial" w:cs="Arial"/>
          <w:b/>
          <w:sz w:val="18"/>
          <w:szCs w:val="18"/>
          <w:u w:val="single"/>
        </w:rPr>
        <w:t>Rappel de la règlementation</w:t>
      </w:r>
      <w:r w:rsidRPr="00F37681">
        <w:rPr>
          <w:rFonts w:ascii="Arial" w:eastAsia="Calibri" w:hAnsi="Arial" w:cs="Arial"/>
          <w:sz w:val="18"/>
          <w:szCs w:val="18"/>
        </w:rPr>
        <w:t> :</w:t>
      </w:r>
    </w:p>
    <w:p w14:paraId="69536CD2" w14:textId="77777777" w:rsidR="00B55D07" w:rsidRPr="00F37681" w:rsidRDefault="00B55D07" w:rsidP="00A40207">
      <w:pPr>
        <w:pBdr>
          <w:top w:val="single" w:sz="4" w:space="1" w:color="auto"/>
          <w:left w:val="single" w:sz="4" w:space="4" w:color="auto"/>
          <w:bottom w:val="single" w:sz="4" w:space="1" w:color="auto"/>
          <w:right w:val="single" w:sz="4" w:space="4" w:color="auto"/>
        </w:pBdr>
        <w:ind w:left="-426" w:right="-568"/>
        <w:jc w:val="both"/>
        <w:rPr>
          <w:rFonts w:ascii="Arial" w:eastAsia="Calibri" w:hAnsi="Arial" w:cs="Arial"/>
          <w:sz w:val="16"/>
          <w:szCs w:val="16"/>
        </w:rPr>
      </w:pPr>
      <w:r w:rsidRPr="00F37681">
        <w:rPr>
          <w:rFonts w:ascii="Arial" w:eastAsia="Calibri" w:hAnsi="Arial" w:cs="Arial"/>
          <w:sz w:val="18"/>
          <w:szCs w:val="18"/>
        </w:rPr>
        <w:t xml:space="preserve">Conformément aux dispositions du </w:t>
      </w:r>
      <w:r w:rsidRPr="00F37681">
        <w:rPr>
          <w:rFonts w:ascii="Arial" w:eastAsia="Calibri" w:hAnsi="Arial" w:cs="Arial"/>
          <w:b/>
          <w:bCs/>
          <w:color w:val="000000"/>
          <w:sz w:val="18"/>
          <w:szCs w:val="18"/>
          <w:shd w:val="clear" w:color="auto" w:fill="FFFFFF"/>
        </w:rPr>
        <w:t>Décret n° 2016-151 du 11 février 2016 relatif aux conditions et modalités de mise en œuvre du télétravail dans la fonction publique et la magistrature</w:t>
      </w:r>
      <w:r w:rsidRPr="00F37681">
        <w:rPr>
          <w:rFonts w:ascii="Arial" w:eastAsia="Calibri" w:hAnsi="Arial" w:cs="Arial"/>
          <w:color w:val="000000"/>
          <w:sz w:val="18"/>
          <w:szCs w:val="18"/>
          <w:shd w:val="clear" w:color="auto" w:fill="FFFFFF"/>
        </w:rPr>
        <w:t>.</w:t>
      </w:r>
    </w:p>
    <w:p w14:paraId="4082AAAD" w14:textId="77777777" w:rsidR="00B55D07" w:rsidRPr="00F37681" w:rsidRDefault="00B55D07" w:rsidP="00A40207">
      <w:pPr>
        <w:pBdr>
          <w:top w:val="single" w:sz="4" w:space="1" w:color="auto"/>
          <w:left w:val="single" w:sz="4" w:space="4" w:color="auto"/>
          <w:bottom w:val="single" w:sz="4" w:space="1" w:color="auto"/>
          <w:right w:val="single" w:sz="4" w:space="4" w:color="auto"/>
        </w:pBdr>
        <w:ind w:left="-426" w:right="-568"/>
        <w:jc w:val="both"/>
        <w:rPr>
          <w:rFonts w:ascii="Arial" w:eastAsia="Calibri" w:hAnsi="Arial" w:cs="Arial"/>
          <w:sz w:val="18"/>
          <w:szCs w:val="18"/>
        </w:rPr>
      </w:pPr>
      <w:r w:rsidRPr="00F37681">
        <w:rPr>
          <w:rFonts w:ascii="Arial" w:eastAsia="Calibri" w:hAnsi="Arial" w:cs="Arial"/>
          <w:color w:val="000000"/>
          <w:sz w:val="18"/>
          <w:szCs w:val="18"/>
          <w:u w:val="single"/>
          <w:shd w:val="clear" w:color="auto" w:fill="FFFFFF"/>
        </w:rPr>
        <w:t>Publics concernés</w:t>
      </w:r>
      <w:r w:rsidRPr="00F37681">
        <w:rPr>
          <w:rFonts w:ascii="Arial" w:eastAsia="Calibri" w:hAnsi="Arial" w:cs="Arial"/>
          <w:color w:val="000000"/>
          <w:sz w:val="18"/>
          <w:szCs w:val="18"/>
          <w:shd w:val="clear" w:color="auto" w:fill="FFFFFF"/>
        </w:rPr>
        <w:t xml:space="preserve"> : agents publics civils dans les trois versants de la fonction publique, magistrats. </w:t>
      </w:r>
      <w:r w:rsidRPr="00F37681">
        <w:rPr>
          <w:rFonts w:ascii="Arial" w:eastAsia="Calibri" w:hAnsi="Arial" w:cs="Arial"/>
          <w:color w:val="000000"/>
          <w:sz w:val="18"/>
          <w:szCs w:val="18"/>
        </w:rPr>
        <w:br/>
      </w:r>
      <w:r w:rsidRPr="00F37681">
        <w:rPr>
          <w:rFonts w:ascii="Arial" w:eastAsia="Calibri" w:hAnsi="Arial" w:cs="Arial"/>
          <w:color w:val="000000"/>
          <w:sz w:val="18"/>
          <w:szCs w:val="18"/>
          <w:u w:val="single"/>
          <w:shd w:val="clear" w:color="auto" w:fill="FFFFFF"/>
        </w:rPr>
        <w:t>Objet</w:t>
      </w:r>
      <w:r w:rsidRPr="00F37681">
        <w:rPr>
          <w:rFonts w:ascii="Arial" w:eastAsia="Calibri" w:hAnsi="Arial" w:cs="Arial"/>
          <w:color w:val="000000"/>
          <w:sz w:val="18"/>
          <w:szCs w:val="18"/>
          <w:shd w:val="clear" w:color="auto" w:fill="FFFFFF"/>
        </w:rPr>
        <w:t xml:space="preserve"> : conditions et modalités de mise en œuvre du télétravail dans la fonction publique et la magistrature. </w:t>
      </w:r>
    </w:p>
    <w:p w14:paraId="6FDA8862" w14:textId="77777777" w:rsidR="00B55D07" w:rsidRPr="00F37681" w:rsidRDefault="00B55D07" w:rsidP="00A40207">
      <w:pPr>
        <w:pBdr>
          <w:top w:val="single" w:sz="4" w:space="1" w:color="auto"/>
          <w:left w:val="single" w:sz="4" w:space="4" w:color="auto"/>
          <w:bottom w:val="single" w:sz="4" w:space="1" w:color="auto"/>
          <w:right w:val="single" w:sz="4" w:space="4" w:color="auto"/>
        </w:pBdr>
        <w:ind w:left="-426" w:right="-568"/>
        <w:jc w:val="both"/>
        <w:rPr>
          <w:rFonts w:ascii="Arial" w:eastAsia="Calibri" w:hAnsi="Arial" w:cs="Arial"/>
          <w:b/>
          <w:sz w:val="18"/>
          <w:szCs w:val="18"/>
          <w:u w:val="single"/>
        </w:rPr>
      </w:pPr>
      <w:r w:rsidRPr="00F37681">
        <w:rPr>
          <w:rFonts w:ascii="Arial" w:eastAsia="Calibri" w:hAnsi="Arial" w:cs="Arial"/>
          <w:b/>
          <w:sz w:val="18"/>
          <w:szCs w:val="18"/>
          <w:u w:val="single"/>
        </w:rPr>
        <w:t>Principe</w:t>
      </w:r>
    </w:p>
    <w:p w14:paraId="2DAF1A21" w14:textId="77777777" w:rsidR="00B55D07" w:rsidRPr="00F37681" w:rsidRDefault="00B55D07" w:rsidP="00A40207">
      <w:pPr>
        <w:pBdr>
          <w:top w:val="single" w:sz="4" w:space="1" w:color="auto"/>
          <w:left w:val="single" w:sz="4" w:space="4" w:color="auto"/>
          <w:bottom w:val="single" w:sz="4" w:space="1" w:color="auto"/>
          <w:right w:val="single" w:sz="4" w:space="4" w:color="auto"/>
        </w:pBdr>
        <w:ind w:left="-426" w:right="-568"/>
        <w:jc w:val="both"/>
        <w:rPr>
          <w:rFonts w:ascii="Arial" w:eastAsia="Calibri" w:hAnsi="Arial" w:cs="Arial"/>
          <w:color w:val="000000"/>
          <w:sz w:val="18"/>
          <w:szCs w:val="18"/>
          <w:shd w:val="clear" w:color="auto" w:fill="FFFFFF"/>
        </w:rPr>
      </w:pPr>
      <w:r w:rsidRPr="00F37681">
        <w:rPr>
          <w:rFonts w:ascii="Arial" w:eastAsia="Calibri" w:hAnsi="Arial" w:cs="Arial"/>
          <w:color w:val="000000"/>
          <w:sz w:val="18"/>
          <w:szCs w:val="18"/>
          <w:shd w:val="clear" w:color="auto" w:fill="FFFFFF"/>
        </w:rPr>
        <w:t>Le télétravail est un mode d'organisation du travail dont l'objectif est de mieux articuler vie personnelle et vie professionnelle. Le décret détermine ses conditions d'exercice : quotité des fonctions pouvant être exercées sous la forme du télétravail, nécessité d'une demande de l'agent, durée de l'autorisation, mentions que doit comporter l'acte d'autorisation. Sont exclues du champ d'application du présent décret les autres formes de travail à distance (travail nomade, travail en réseau…). </w:t>
      </w:r>
    </w:p>
    <w:p w14:paraId="318A27A6" w14:textId="77777777" w:rsidR="00B55D07" w:rsidRPr="00F37681" w:rsidRDefault="00B55D07" w:rsidP="00A40207">
      <w:pPr>
        <w:pBdr>
          <w:top w:val="single" w:sz="4" w:space="1" w:color="auto"/>
          <w:left w:val="single" w:sz="4" w:space="4" w:color="auto"/>
          <w:bottom w:val="single" w:sz="4" w:space="1" w:color="auto"/>
          <w:right w:val="single" w:sz="4" w:space="4" w:color="auto"/>
        </w:pBdr>
        <w:ind w:left="-426" w:right="-568"/>
        <w:jc w:val="both"/>
        <w:rPr>
          <w:rFonts w:ascii="Arial" w:eastAsia="Calibri" w:hAnsi="Arial" w:cs="Arial"/>
          <w:color w:val="000000"/>
          <w:sz w:val="18"/>
          <w:szCs w:val="18"/>
          <w:shd w:val="clear" w:color="auto" w:fill="FFFFFF"/>
        </w:rPr>
      </w:pPr>
      <w:r w:rsidRPr="00F37681">
        <w:rPr>
          <w:rFonts w:ascii="Arial" w:eastAsia="Calibri" w:hAnsi="Arial" w:cs="Arial"/>
          <w:color w:val="000000"/>
          <w:sz w:val="18"/>
          <w:szCs w:val="18"/>
          <w:shd w:val="clear" w:color="auto" w:fill="FFFFFF"/>
        </w:rPr>
        <w:t>Le télétravail est organisé au domicile de l'agent ou, éventuellement, dans des locaux professionnels distincts de ceux de son employeur public et de son lieu d'affectation.</w:t>
      </w:r>
    </w:p>
    <w:p w14:paraId="4D3DDD13" w14:textId="1B3574A7" w:rsidR="00274D0F" w:rsidRPr="00F37681" w:rsidRDefault="00B55D07" w:rsidP="00F37681">
      <w:pPr>
        <w:pBdr>
          <w:top w:val="single" w:sz="4" w:space="1" w:color="auto"/>
          <w:left w:val="single" w:sz="4" w:space="4" w:color="auto"/>
          <w:bottom w:val="single" w:sz="4" w:space="1" w:color="auto"/>
          <w:right w:val="single" w:sz="4" w:space="4" w:color="auto"/>
        </w:pBdr>
        <w:ind w:left="-426" w:right="-568"/>
        <w:jc w:val="both"/>
        <w:rPr>
          <w:rFonts w:ascii="Arial" w:eastAsia="Calibri" w:hAnsi="Arial" w:cs="Arial"/>
          <w:color w:val="000000"/>
          <w:sz w:val="18"/>
          <w:szCs w:val="18"/>
          <w:shd w:val="clear" w:color="auto" w:fill="FFFFFF"/>
        </w:rPr>
      </w:pPr>
      <w:r w:rsidRPr="00F37681">
        <w:rPr>
          <w:rFonts w:ascii="Arial" w:eastAsia="Calibri" w:hAnsi="Arial" w:cs="Arial"/>
          <w:color w:val="000000"/>
          <w:sz w:val="18"/>
          <w:szCs w:val="18"/>
          <w:shd w:val="clear" w:color="auto" w:fill="FFFFFF"/>
        </w:rPr>
        <w:t>Les périodes d'astreintes mentionnées à l'</w:t>
      </w:r>
      <w:r w:rsidRPr="00F37681">
        <w:rPr>
          <w:rFonts w:ascii="Arial" w:eastAsia="Calibri" w:hAnsi="Arial" w:cs="Arial"/>
          <w:color w:val="336699"/>
          <w:sz w:val="18"/>
          <w:szCs w:val="18"/>
          <w:u w:val="single"/>
          <w:shd w:val="clear" w:color="auto" w:fill="FFFFFF"/>
        </w:rPr>
        <w:t xml:space="preserve">article 5 du décret du 25 août 2000 susvisé article 5 du décret du 12 juillet 2001 susvisé article 20 du décret du 4 janvier 2002 susvisé </w:t>
      </w:r>
      <w:r w:rsidRPr="00F37681">
        <w:rPr>
          <w:rFonts w:ascii="Arial" w:eastAsia="Calibri" w:hAnsi="Arial" w:cs="Arial"/>
          <w:color w:val="000000"/>
          <w:sz w:val="18"/>
          <w:szCs w:val="18"/>
          <w:shd w:val="clear" w:color="auto" w:fill="FFFFFF"/>
        </w:rPr>
        <w:t>ne constituent pas du télétravail au sens du présent décret.</w:t>
      </w:r>
    </w:p>
    <w:tbl>
      <w:tblPr>
        <w:tblpPr w:leftFromText="141" w:rightFromText="141" w:vertAnchor="text" w:horzAnchor="margin" w:tblpXSpec="center" w:tblpY="106"/>
        <w:tblW w:w="10497" w:type="dxa"/>
        <w:tblLayout w:type="fixed"/>
        <w:tblCellMar>
          <w:left w:w="70" w:type="dxa"/>
          <w:right w:w="70" w:type="dxa"/>
        </w:tblCellMar>
        <w:tblLook w:val="0000" w:firstRow="0" w:lastRow="0" w:firstColumn="0" w:lastColumn="0" w:noHBand="0" w:noVBand="0"/>
      </w:tblPr>
      <w:tblGrid>
        <w:gridCol w:w="10497"/>
      </w:tblGrid>
      <w:tr w:rsidR="00EC30F5" w:rsidRPr="00634D6D" w14:paraId="5C1C6D41" w14:textId="77777777" w:rsidTr="00EC30F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F7239B2" w14:textId="77777777" w:rsidR="00EC30F5" w:rsidRPr="00634D6D" w:rsidRDefault="00EC30F5" w:rsidP="00EC30F5">
            <w:pPr>
              <w:jc w:val="center"/>
              <w:rPr>
                <w:rFonts w:ascii="Arial" w:hAnsi="Arial" w:cs="Arial"/>
                <w:color w:val="FFFFFF"/>
                <w:sz w:val="21"/>
              </w:rPr>
            </w:pPr>
            <w:r w:rsidRPr="00634D6D">
              <w:rPr>
                <w:rFonts w:ascii="Arial" w:hAnsi="Arial" w:cs="Arial"/>
                <w:b/>
                <w:color w:val="FFFFFF"/>
              </w:rPr>
              <w:t xml:space="preserve">DISPOSITIONS PROPOSEES   </w:t>
            </w:r>
          </w:p>
        </w:tc>
      </w:tr>
    </w:tbl>
    <w:p w14:paraId="1F1B6D01" w14:textId="77777777" w:rsidR="00EC30F5" w:rsidRDefault="00EC30F5" w:rsidP="007D0432">
      <w:pPr>
        <w:rPr>
          <w:rFonts w:ascii="Arial" w:hAnsi="Arial" w:cs="Arial"/>
          <w:b/>
          <w:iCs/>
          <w:color w:val="FFFFF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tblGrid>
      <w:tr w:rsidR="00EC30F5" w:rsidRPr="009012BB" w14:paraId="37277349" w14:textId="77777777" w:rsidTr="00BD4C26">
        <w:trPr>
          <w:jc w:val="center"/>
        </w:trPr>
        <w:tc>
          <w:tcPr>
            <w:tcW w:w="2303" w:type="dxa"/>
            <w:vAlign w:val="center"/>
          </w:tcPr>
          <w:p w14:paraId="49983FBD" w14:textId="77777777" w:rsidR="00EC30F5" w:rsidRPr="009012BB" w:rsidRDefault="00EC30F5" w:rsidP="00BD4C26">
            <w:pPr>
              <w:jc w:val="center"/>
              <w:rPr>
                <w:sz w:val="22"/>
                <w:szCs w:val="22"/>
              </w:rPr>
            </w:pPr>
            <w:r w:rsidRPr="009012BB">
              <w:rPr>
                <w:sz w:val="22"/>
                <w:szCs w:val="22"/>
              </w:rPr>
              <w:t>Nombre d’agents</w:t>
            </w:r>
          </w:p>
          <w:p w14:paraId="70D2096D" w14:textId="77777777" w:rsidR="00EC30F5" w:rsidRPr="009012BB" w:rsidRDefault="00EC30F5" w:rsidP="00BD4C26">
            <w:pPr>
              <w:jc w:val="center"/>
              <w:rPr>
                <w:sz w:val="22"/>
                <w:szCs w:val="22"/>
              </w:rPr>
            </w:pPr>
            <w:r w:rsidRPr="009012BB">
              <w:rPr>
                <w:sz w:val="22"/>
                <w:szCs w:val="22"/>
              </w:rPr>
              <w:t>Titulaires</w:t>
            </w:r>
          </w:p>
        </w:tc>
        <w:tc>
          <w:tcPr>
            <w:tcW w:w="2303" w:type="dxa"/>
            <w:vAlign w:val="center"/>
          </w:tcPr>
          <w:p w14:paraId="44C09DA6" w14:textId="77777777" w:rsidR="00EC30F5" w:rsidRPr="009012BB" w:rsidRDefault="00EC30F5" w:rsidP="00BD4C26">
            <w:pPr>
              <w:jc w:val="center"/>
              <w:rPr>
                <w:sz w:val="22"/>
                <w:szCs w:val="22"/>
              </w:rPr>
            </w:pPr>
            <w:r w:rsidRPr="009012BB">
              <w:rPr>
                <w:sz w:val="22"/>
                <w:szCs w:val="22"/>
              </w:rPr>
              <w:t>Nombre d’agents</w:t>
            </w:r>
          </w:p>
          <w:p w14:paraId="2C6CB74E" w14:textId="77777777" w:rsidR="00EC30F5" w:rsidRPr="009012BB" w:rsidRDefault="00EC30F5" w:rsidP="00BD4C26">
            <w:pPr>
              <w:jc w:val="center"/>
              <w:rPr>
                <w:sz w:val="22"/>
                <w:szCs w:val="22"/>
              </w:rPr>
            </w:pPr>
            <w:r>
              <w:rPr>
                <w:sz w:val="22"/>
                <w:szCs w:val="22"/>
              </w:rPr>
              <w:t>Contractuels</w:t>
            </w:r>
          </w:p>
        </w:tc>
        <w:tc>
          <w:tcPr>
            <w:tcW w:w="2303" w:type="dxa"/>
            <w:vAlign w:val="center"/>
          </w:tcPr>
          <w:p w14:paraId="61C1088C" w14:textId="77777777" w:rsidR="00EC30F5" w:rsidRPr="009012BB" w:rsidRDefault="00EC30F5" w:rsidP="00BD4C26">
            <w:pPr>
              <w:jc w:val="center"/>
              <w:rPr>
                <w:sz w:val="22"/>
                <w:szCs w:val="22"/>
              </w:rPr>
            </w:pPr>
            <w:r w:rsidRPr="009012BB">
              <w:rPr>
                <w:sz w:val="22"/>
                <w:szCs w:val="22"/>
              </w:rPr>
              <w:t>Nombre d’agents</w:t>
            </w:r>
          </w:p>
          <w:p w14:paraId="4571BB33" w14:textId="77777777" w:rsidR="00EC30F5" w:rsidRPr="009012BB" w:rsidRDefault="00EC30F5" w:rsidP="00BD4C26">
            <w:pPr>
              <w:jc w:val="center"/>
              <w:rPr>
                <w:sz w:val="22"/>
                <w:szCs w:val="22"/>
              </w:rPr>
            </w:pPr>
            <w:r w:rsidRPr="009012BB">
              <w:rPr>
                <w:sz w:val="22"/>
                <w:szCs w:val="22"/>
              </w:rPr>
              <w:t>Stagiaires</w:t>
            </w:r>
          </w:p>
        </w:tc>
      </w:tr>
      <w:tr w:rsidR="00EC30F5" w:rsidRPr="009012BB" w14:paraId="3AE7E097" w14:textId="77777777" w:rsidTr="00BD4C26">
        <w:trPr>
          <w:jc w:val="center"/>
        </w:trPr>
        <w:tc>
          <w:tcPr>
            <w:tcW w:w="2303" w:type="dxa"/>
          </w:tcPr>
          <w:p w14:paraId="7F7E969A" w14:textId="77777777" w:rsidR="00EC30F5" w:rsidRPr="009012BB" w:rsidRDefault="00EC30F5" w:rsidP="00BD4C26">
            <w:pPr>
              <w:jc w:val="center"/>
              <w:rPr>
                <w:sz w:val="22"/>
                <w:szCs w:val="22"/>
              </w:rPr>
            </w:pPr>
          </w:p>
        </w:tc>
        <w:tc>
          <w:tcPr>
            <w:tcW w:w="2303" w:type="dxa"/>
          </w:tcPr>
          <w:p w14:paraId="36647F0B" w14:textId="77777777" w:rsidR="00EC30F5" w:rsidRPr="009012BB" w:rsidRDefault="00EC30F5" w:rsidP="00BD4C26">
            <w:pPr>
              <w:jc w:val="center"/>
              <w:rPr>
                <w:sz w:val="22"/>
                <w:szCs w:val="22"/>
              </w:rPr>
            </w:pPr>
          </w:p>
        </w:tc>
        <w:tc>
          <w:tcPr>
            <w:tcW w:w="2303" w:type="dxa"/>
          </w:tcPr>
          <w:p w14:paraId="486A8E74" w14:textId="77777777" w:rsidR="00EC30F5" w:rsidRPr="009012BB" w:rsidRDefault="00EC30F5" w:rsidP="00BD4C26">
            <w:pPr>
              <w:jc w:val="center"/>
              <w:rPr>
                <w:sz w:val="22"/>
                <w:szCs w:val="22"/>
              </w:rPr>
            </w:pPr>
          </w:p>
        </w:tc>
      </w:tr>
    </w:tbl>
    <w:p w14:paraId="3A23A2B7" w14:textId="77777777" w:rsidR="00EC30F5" w:rsidRPr="00274D0F" w:rsidRDefault="00EC30F5" w:rsidP="007D0432">
      <w:pPr>
        <w:rPr>
          <w:rFonts w:ascii="Arial" w:hAnsi="Arial" w:cs="Arial"/>
          <w:b/>
          <w:iCs/>
          <w:color w:val="FFFFFF"/>
        </w:rPr>
      </w:pPr>
    </w:p>
    <w:p w14:paraId="1841A4C5" w14:textId="34B6F0EB" w:rsidR="00EC30F5" w:rsidRPr="00EC30F5" w:rsidRDefault="00F9560F" w:rsidP="00EC30F5">
      <w:pPr>
        <w:pBdr>
          <w:top w:val="single" w:sz="4" w:space="1" w:color="auto"/>
          <w:left w:val="single" w:sz="4" w:space="4" w:color="auto"/>
          <w:bottom w:val="single" w:sz="4" w:space="0" w:color="auto"/>
          <w:right w:val="single" w:sz="4" w:space="4" w:color="auto"/>
        </w:pBdr>
        <w:spacing w:line="360" w:lineRule="auto"/>
        <w:jc w:val="both"/>
        <w:rPr>
          <w:rFonts w:ascii="Calibri" w:eastAsia="Calibri" w:hAnsi="Calibri"/>
          <w:sz w:val="16"/>
          <w:szCs w:val="16"/>
        </w:rPr>
      </w:pPr>
      <w:r w:rsidRPr="00FE3971">
        <w:rPr>
          <w:rFonts w:ascii="Tahoma" w:eastAsia="Calibri" w:hAnsi="Tahoma" w:cs="Tahoma"/>
        </w:rPr>
        <w:t xml:space="preserve">● </w:t>
      </w:r>
      <w:r w:rsidRPr="00F9560F">
        <w:rPr>
          <w:rFonts w:ascii="Calibri" w:eastAsia="Calibri" w:hAnsi="Calibri"/>
        </w:rPr>
        <w:t>demande</w:t>
      </w:r>
      <w:r w:rsidR="00BB2BDA" w:rsidRPr="00FE3971">
        <w:rPr>
          <w:rFonts w:ascii="Calibri" w:eastAsia="Calibri" w:hAnsi="Calibri"/>
        </w:rPr>
        <w:t xml:space="preserve"> initiale :</w:t>
      </w:r>
      <w:r w:rsidR="00C91690">
        <w:rPr>
          <w:rFonts w:ascii="Calibri" w:eastAsia="Calibri" w:hAnsi="Calibri"/>
        </w:rPr>
        <w:t xml:space="preserve">      </w:t>
      </w:r>
      <w:r w:rsidR="00C91690" w:rsidRPr="00A04C8E">
        <w:rPr>
          <w:rFonts w:ascii="Arial" w:hAnsi="Arial" w:cs="Arial"/>
        </w:rPr>
        <w:sym w:font="Wingdings" w:char="F071"/>
      </w:r>
      <w:r w:rsidR="00BB2BDA" w:rsidRPr="00FE3971">
        <w:rPr>
          <w:rFonts w:ascii="Calibri" w:eastAsia="Calibri" w:hAnsi="Calibri"/>
        </w:rPr>
        <w:tab/>
      </w:r>
      <w:r w:rsidR="00BB2BDA" w:rsidRPr="00FE3971">
        <w:rPr>
          <w:rFonts w:ascii="Calibri" w:eastAsia="Calibri" w:hAnsi="Calibri"/>
        </w:rPr>
        <w:tab/>
        <w:t xml:space="preserve">modification : </w:t>
      </w:r>
      <w:r w:rsidR="00BB2BDA" w:rsidRPr="00FE3971">
        <w:rPr>
          <w:rFonts w:ascii="Calibri" w:eastAsia="Calibri" w:hAnsi="Calibri"/>
        </w:rPr>
        <w:tab/>
      </w:r>
      <w:r w:rsidR="00C91690" w:rsidRPr="00A04C8E">
        <w:rPr>
          <w:rFonts w:ascii="Arial" w:hAnsi="Arial" w:cs="Arial"/>
        </w:rPr>
        <w:sym w:font="Wingdings" w:char="F071"/>
      </w:r>
      <w:r w:rsidR="00C91690">
        <w:rPr>
          <w:rFonts w:ascii="Arial" w:hAnsi="Arial" w:cs="Arial"/>
        </w:rPr>
        <w:t xml:space="preserve"> </w:t>
      </w:r>
      <w:r w:rsidR="00BB2BDA" w:rsidRPr="00E568AA">
        <w:rPr>
          <w:rFonts w:ascii="Calibri" w:eastAsia="Calibri" w:hAnsi="Calibri"/>
        </w:rPr>
        <w:t xml:space="preserve"> </w:t>
      </w:r>
      <w:r w:rsidR="00EC30F5" w:rsidRPr="00E568AA">
        <w:rPr>
          <w:rFonts w:ascii="Calibri" w:eastAsia="Calibri" w:hAnsi="Calibri"/>
          <w:sz w:val="16"/>
          <w:szCs w:val="16"/>
        </w:rPr>
        <w:t>(</w:t>
      </w:r>
      <w:r w:rsidR="00EC30F5" w:rsidRPr="00E568AA">
        <w:rPr>
          <w:rFonts w:ascii="Calibri" w:eastAsia="Calibri" w:hAnsi="Calibri"/>
          <w:b/>
          <w:sz w:val="18"/>
          <w:szCs w:val="18"/>
          <w:highlight w:val="lightGray"/>
        </w:rPr>
        <w:t>inscrire en caractère gras les modifications</w:t>
      </w:r>
      <w:r w:rsidR="00EC30F5">
        <w:rPr>
          <w:rFonts w:ascii="Calibri" w:eastAsia="Calibri" w:hAnsi="Calibri"/>
          <w:b/>
          <w:sz w:val="18"/>
          <w:szCs w:val="18"/>
        </w:rPr>
        <w:t>)</w:t>
      </w:r>
      <w:r w:rsidR="00EC30F5" w:rsidRPr="00E568AA">
        <w:rPr>
          <w:rFonts w:ascii="Calibri" w:eastAsia="Calibri" w:hAnsi="Calibri"/>
          <w:sz w:val="16"/>
          <w:szCs w:val="16"/>
        </w:rPr>
        <w:t xml:space="preserve">      </w:t>
      </w:r>
      <w:r w:rsidR="00EC30F5" w:rsidRPr="00E568AA">
        <w:rPr>
          <w:rFonts w:ascii="Calibri" w:eastAsia="Calibri" w:hAnsi="Calibri"/>
          <w:i/>
        </w:rPr>
        <w:t xml:space="preserve">   </w:t>
      </w:r>
    </w:p>
    <w:p w14:paraId="2659F4E1" w14:textId="67D939C7" w:rsidR="00BB2BDA" w:rsidRPr="00F37681" w:rsidRDefault="00BB2BDA" w:rsidP="00F37681">
      <w:pPr>
        <w:pBdr>
          <w:top w:val="single" w:sz="4" w:space="1" w:color="auto"/>
          <w:left w:val="single" w:sz="4" w:space="4" w:color="auto"/>
          <w:bottom w:val="single" w:sz="4" w:space="0" w:color="auto"/>
          <w:right w:val="single" w:sz="4" w:space="4" w:color="auto"/>
        </w:pBdr>
        <w:spacing w:line="360" w:lineRule="auto"/>
        <w:jc w:val="both"/>
        <w:rPr>
          <w:rFonts w:ascii="Calibri" w:eastAsia="Calibri" w:hAnsi="Calibri"/>
          <w:b/>
          <w:bCs/>
        </w:rPr>
      </w:pPr>
      <w:r w:rsidRPr="000174B9">
        <w:rPr>
          <w:rFonts w:ascii="Calibri" w:eastAsia="Calibri" w:hAnsi="Calibri"/>
          <w:b/>
          <w:bCs/>
          <w:i/>
        </w:rPr>
        <w:t xml:space="preserve"> </w:t>
      </w:r>
      <w:r w:rsidRPr="000174B9">
        <w:rPr>
          <w:rFonts w:ascii="Calibri" w:eastAsia="Calibri" w:hAnsi="Calibri"/>
          <w:b/>
          <w:bCs/>
        </w:rPr>
        <w:t xml:space="preserve">Le télétravail sera mis en place à compter </w:t>
      </w:r>
      <w:proofErr w:type="gramStart"/>
      <w:r w:rsidRPr="000174B9">
        <w:rPr>
          <w:rFonts w:ascii="Calibri" w:eastAsia="Calibri" w:hAnsi="Calibri"/>
          <w:b/>
          <w:bCs/>
        </w:rPr>
        <w:t>du  …</w:t>
      </w:r>
      <w:proofErr w:type="gramEnd"/>
      <w:r w:rsidRPr="000174B9">
        <w:rPr>
          <w:rFonts w:ascii="Calibri" w:eastAsia="Calibri" w:hAnsi="Calibri"/>
          <w:b/>
          <w:bCs/>
        </w:rPr>
        <w:t xml:space="preserve">………/……….…/………, après avis du Comité </w:t>
      </w:r>
      <w:r>
        <w:rPr>
          <w:rFonts w:ascii="Calibri" w:eastAsia="Calibri" w:hAnsi="Calibri"/>
          <w:b/>
          <w:bCs/>
        </w:rPr>
        <w:t>Social Territorial</w:t>
      </w:r>
      <w:r w:rsidRPr="000174B9">
        <w:rPr>
          <w:rFonts w:ascii="Calibri" w:eastAsia="Calibri" w:hAnsi="Calibri"/>
          <w:b/>
          <w:bCs/>
        </w:rPr>
        <w:t xml:space="preserve"> dans sa séance du : ..…./……../20</w:t>
      </w:r>
    </w:p>
    <w:p w14:paraId="64142EAF" w14:textId="77777777" w:rsidR="00BB2BDA" w:rsidRPr="00E568AA" w:rsidRDefault="00BB2BDA" w:rsidP="00BB2BDA">
      <w:pPr>
        <w:jc w:val="both"/>
        <w:rPr>
          <w:rFonts w:ascii="Calibri" w:eastAsia="Calibri" w:hAnsi="Calibri"/>
        </w:rPr>
      </w:pPr>
      <w:r w:rsidRPr="00E568AA">
        <w:rPr>
          <w:rFonts w:ascii="Calibri" w:eastAsia="Calibri" w:hAnsi="Calibri"/>
        </w:rPr>
        <w:t xml:space="preserve"> </w:t>
      </w:r>
    </w:p>
    <w:p w14:paraId="68B68517" w14:textId="77777777" w:rsidR="004715D7" w:rsidRPr="000A620C" w:rsidRDefault="004715D7" w:rsidP="001C69B1">
      <w:pPr>
        <w:tabs>
          <w:tab w:val="left" w:pos="6521"/>
        </w:tabs>
        <w:ind w:left="3540" w:hanging="3540"/>
        <w:rPr>
          <w:rFonts w:ascii="Arial" w:hAnsi="Arial" w:cs="Arial"/>
          <w:b/>
        </w:rPr>
      </w:pPr>
      <w:r w:rsidRPr="000A620C">
        <w:rPr>
          <w:rFonts w:ascii="Arial" w:hAnsi="Arial" w:cs="Arial"/>
          <w:b/>
        </w:rPr>
        <w:t>Fait à ……………………………………</w:t>
      </w:r>
      <w:r w:rsidRPr="000A620C">
        <w:rPr>
          <w:rFonts w:ascii="Arial" w:hAnsi="Arial" w:cs="Arial"/>
          <w:b/>
        </w:rPr>
        <w:tab/>
      </w:r>
      <w:r w:rsidR="001C69B1" w:rsidRPr="000A620C">
        <w:rPr>
          <w:rFonts w:ascii="Arial" w:hAnsi="Arial" w:cs="Arial"/>
          <w:b/>
        </w:rPr>
        <w:t xml:space="preserve">                        </w:t>
      </w:r>
      <w:r w:rsidRPr="000A620C">
        <w:rPr>
          <w:rFonts w:ascii="Arial" w:hAnsi="Arial" w:cs="Arial"/>
          <w:b/>
        </w:rPr>
        <w:t>Cachet et signature de l’autorité territoriale</w:t>
      </w:r>
    </w:p>
    <w:p w14:paraId="3D1CA91C" w14:textId="77777777" w:rsidR="004715D7" w:rsidRPr="000A620C" w:rsidRDefault="004715D7" w:rsidP="004715D7">
      <w:pPr>
        <w:tabs>
          <w:tab w:val="left" w:pos="0"/>
        </w:tabs>
        <w:rPr>
          <w:rFonts w:ascii="Arial" w:hAnsi="Arial" w:cs="Arial"/>
          <w:b/>
        </w:rPr>
      </w:pPr>
      <w:r w:rsidRPr="000A620C">
        <w:rPr>
          <w:rFonts w:ascii="Arial" w:hAnsi="Arial" w:cs="Arial"/>
          <w:b/>
        </w:rPr>
        <w:t>Le…………………</w:t>
      </w:r>
      <w:proofErr w:type="gramStart"/>
      <w:r w:rsidRPr="000A620C">
        <w:rPr>
          <w:rFonts w:ascii="Arial" w:hAnsi="Arial" w:cs="Arial"/>
          <w:b/>
        </w:rPr>
        <w:t>…….</w:t>
      </w:r>
      <w:proofErr w:type="gramEnd"/>
      <w:r w:rsidRPr="000A620C">
        <w:rPr>
          <w:rFonts w:ascii="Arial" w:hAnsi="Arial" w:cs="Arial"/>
          <w:b/>
        </w:rPr>
        <w:t>.………………</w:t>
      </w:r>
    </w:p>
    <w:p w14:paraId="0F906447" w14:textId="77777777" w:rsidR="004715D7" w:rsidRPr="00634D6D" w:rsidRDefault="004715D7" w:rsidP="004715D7">
      <w:pPr>
        <w:rPr>
          <w:rFonts w:ascii="Arial" w:hAnsi="Arial" w:cs="Arial"/>
          <w:b/>
          <w:color w:val="666699"/>
          <w:sz w:val="10"/>
          <w:szCs w:val="10"/>
        </w:rPr>
      </w:pPr>
    </w:p>
    <w:p w14:paraId="0844D865" w14:textId="77777777" w:rsidR="00F37681" w:rsidRDefault="00F37681" w:rsidP="00F37681">
      <w:pPr>
        <w:pStyle w:val="NormalRGPD"/>
        <w:spacing w:after="0" w:line="240" w:lineRule="auto"/>
        <w:rPr>
          <w:rFonts w:cstheme="minorHAnsi"/>
          <w:i/>
          <w:iCs/>
          <w:color w:val="000000" w:themeColor="text1"/>
          <w:sz w:val="18"/>
          <w:szCs w:val="18"/>
        </w:rPr>
      </w:pPr>
    </w:p>
    <w:p w14:paraId="4A5EBCAB" w14:textId="77777777" w:rsidR="00F37681" w:rsidRDefault="00F37681" w:rsidP="00F37681">
      <w:pPr>
        <w:pStyle w:val="NormalRGPD"/>
        <w:spacing w:after="0" w:line="240" w:lineRule="auto"/>
        <w:rPr>
          <w:rFonts w:cstheme="minorHAnsi"/>
          <w:i/>
          <w:iCs/>
          <w:color w:val="000000" w:themeColor="text1"/>
          <w:sz w:val="18"/>
          <w:szCs w:val="18"/>
        </w:rPr>
      </w:pPr>
    </w:p>
    <w:p w14:paraId="46FBE3CA" w14:textId="77777777" w:rsidR="00F37681" w:rsidRPr="00AF5276" w:rsidRDefault="00F37681" w:rsidP="00F37681">
      <w:pPr>
        <w:pStyle w:val="NormalRGPD"/>
        <w:spacing w:after="0" w:line="240" w:lineRule="auto"/>
        <w:rPr>
          <w:rFonts w:cstheme="minorHAnsi"/>
          <w:i/>
          <w:iCs/>
          <w:color w:val="000000" w:themeColor="text1"/>
          <w:sz w:val="18"/>
          <w:szCs w:val="18"/>
        </w:rPr>
      </w:pPr>
    </w:p>
    <w:p w14:paraId="542E4434" w14:textId="03E5C6CF" w:rsidR="00F37681" w:rsidRPr="00F5714E" w:rsidRDefault="00F37681" w:rsidP="00F37681">
      <w:pPr>
        <w:pStyle w:val="NormalRGPD"/>
        <w:spacing w:after="0" w:line="240" w:lineRule="auto"/>
        <w:rPr>
          <w:rFonts w:cstheme="minorHAnsi"/>
          <w:i/>
          <w:iCs/>
          <w:color w:val="000000" w:themeColor="text1"/>
          <w:sz w:val="16"/>
          <w:szCs w:val="16"/>
        </w:rPr>
      </w:pPr>
      <w:r w:rsidRPr="00F5714E">
        <w:rPr>
          <w:rFonts w:cstheme="minorHAnsi"/>
          <w:i/>
          <w:iCs/>
          <w:color w:val="000000" w:themeColor="text1"/>
          <w:sz w:val="16"/>
          <w:szCs w:val="16"/>
        </w:rPr>
        <w:t xml:space="preserve">Les informations recueillies à partir de ce formulaire, dans le cadre d’une obligation légale, font l’objet d’un traitement destiné au Centre de Gestion de la Fonction Publique Territoriale de l’Aude (CDG11) pour la gestion des saisines </w:t>
      </w:r>
      <w:r>
        <w:rPr>
          <w:rFonts w:cstheme="minorHAnsi"/>
          <w:i/>
          <w:iCs/>
          <w:color w:val="000000" w:themeColor="text1"/>
          <w:sz w:val="16"/>
          <w:szCs w:val="16"/>
        </w:rPr>
        <w:t>du Comité Social Territorial (CST)</w:t>
      </w:r>
      <w:r w:rsidRPr="00F5714E">
        <w:rPr>
          <w:rFonts w:cstheme="minorHAnsi"/>
          <w:i/>
          <w:iCs/>
          <w:color w:val="000000" w:themeColor="text1"/>
          <w:sz w:val="16"/>
          <w:szCs w:val="16"/>
        </w:rPr>
        <w:t>. Les destinataires des données sont</w:t>
      </w:r>
      <w:r>
        <w:rPr>
          <w:rFonts w:cstheme="minorHAnsi"/>
          <w:i/>
          <w:iCs/>
          <w:color w:val="000000" w:themeColor="text1"/>
          <w:sz w:val="16"/>
          <w:szCs w:val="16"/>
        </w:rPr>
        <w:t xml:space="preserve"> les personnels habilités du CDG11 en charge du traitement et</w:t>
      </w:r>
      <w:r w:rsidRPr="00F5714E">
        <w:rPr>
          <w:rFonts w:cstheme="minorHAnsi"/>
          <w:i/>
          <w:iCs/>
          <w:color w:val="000000" w:themeColor="text1"/>
          <w:sz w:val="16"/>
          <w:szCs w:val="16"/>
        </w:rPr>
        <w:t xml:space="preserve"> les représentants </w:t>
      </w:r>
      <w:r>
        <w:rPr>
          <w:rFonts w:cstheme="minorHAnsi"/>
          <w:i/>
          <w:iCs/>
          <w:color w:val="000000" w:themeColor="text1"/>
          <w:sz w:val="16"/>
          <w:szCs w:val="16"/>
        </w:rPr>
        <w:t>du CST</w:t>
      </w:r>
      <w:r w:rsidRPr="00F5714E">
        <w:rPr>
          <w:rFonts w:cstheme="minorHAnsi"/>
          <w:i/>
          <w:iCs/>
          <w:color w:val="000000" w:themeColor="text1"/>
          <w:sz w:val="16"/>
          <w:szCs w:val="16"/>
        </w:rPr>
        <w:t xml:space="preserve">. Les données sont conservées </w:t>
      </w:r>
      <w:r>
        <w:rPr>
          <w:rFonts w:cstheme="minorHAnsi"/>
          <w:i/>
          <w:iCs/>
          <w:color w:val="000000" w:themeColor="text1"/>
          <w:sz w:val="16"/>
          <w:szCs w:val="16"/>
        </w:rPr>
        <w:t>deux ans</w:t>
      </w:r>
      <w:r w:rsidRPr="00F5714E">
        <w:rPr>
          <w:rFonts w:cstheme="minorHAnsi"/>
          <w:i/>
          <w:iCs/>
          <w:color w:val="000000" w:themeColor="text1"/>
          <w:sz w:val="16"/>
          <w:szCs w:val="16"/>
        </w:rPr>
        <w:t xml:space="preserve"> à compter de la saisine puis </w:t>
      </w:r>
      <w:r>
        <w:rPr>
          <w:rFonts w:cstheme="minorHAnsi"/>
          <w:i/>
          <w:iCs/>
          <w:color w:val="000000" w:themeColor="text1"/>
          <w:sz w:val="16"/>
          <w:szCs w:val="16"/>
        </w:rPr>
        <w:t>archivées</w:t>
      </w:r>
      <w:r w:rsidRPr="00F5714E">
        <w:rPr>
          <w:rFonts w:cstheme="minorHAnsi"/>
          <w:i/>
          <w:iCs/>
          <w:color w:val="000000" w:themeColor="text1"/>
          <w:sz w:val="16"/>
          <w:szCs w:val="16"/>
        </w:rPr>
        <w:t>.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0DFB617E" w14:textId="77777777" w:rsidR="00F37681" w:rsidRPr="00F5714E" w:rsidRDefault="00F37681" w:rsidP="00F37681">
      <w:pPr>
        <w:pStyle w:val="NormalRGPD"/>
        <w:spacing w:after="0" w:line="240" w:lineRule="auto"/>
        <w:rPr>
          <w:rFonts w:cstheme="minorHAnsi"/>
          <w:i/>
          <w:iCs/>
          <w:color w:val="000000" w:themeColor="text1"/>
          <w:sz w:val="16"/>
          <w:szCs w:val="16"/>
        </w:rPr>
      </w:pPr>
      <w:r w:rsidRPr="00F5714E">
        <w:rPr>
          <w:rFonts w:cstheme="minorHAnsi"/>
          <w:i/>
          <w:iCs/>
          <w:color w:val="000000" w:themeColor="text1"/>
          <w:sz w:val="16"/>
          <w:szCs w:val="16"/>
        </w:rPr>
        <w:t>Si vous estimez, après nous avoir contacté, que vos droits « Informatique et Libertés » ne sont pas respectés, vous pouvez adresser une réclamation auprès de la Commission Nationale de l’Informatique et des Libertés (CNIL) sur son site internet.</w:t>
      </w:r>
    </w:p>
    <w:sectPr w:rsidR="00F37681" w:rsidRPr="00F5714E" w:rsidSect="00F37681">
      <w:headerReference w:type="default" r:id="rId9"/>
      <w:footerReference w:type="default" r:id="rId10"/>
      <w:pgSz w:w="11906" w:h="16838"/>
      <w:pgMar w:top="851" w:right="1417" w:bottom="1134" w:left="1418" w:header="708"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42A7" w14:textId="77777777" w:rsidR="0007637D" w:rsidRDefault="0007637D" w:rsidP="004715D7">
      <w:r>
        <w:separator/>
      </w:r>
    </w:p>
  </w:endnote>
  <w:endnote w:type="continuationSeparator" w:id="0">
    <w:p w14:paraId="0F954E38" w14:textId="77777777" w:rsidR="0007637D" w:rsidRDefault="0007637D"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w:t>
    </w:r>
    <w:proofErr w:type="spellStart"/>
    <w:r w:rsidRPr="005E7302">
      <w:rPr>
        <w:rFonts w:ascii="Trebuchet MS" w:hAnsi="Trebuchet MS"/>
        <w:b/>
        <w:color w:val="243B7D"/>
        <w:w w:val="60"/>
      </w:rPr>
      <w:t>Verdouble</w:t>
    </w:r>
    <w:proofErr w:type="spellEnd"/>
    <w:r w:rsidRPr="005E7302">
      <w:rPr>
        <w:rFonts w:ascii="Trebuchet MS" w:hAnsi="Trebuchet MS"/>
        <w:b/>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0CA0" w14:textId="77777777" w:rsidR="0007637D" w:rsidRDefault="0007637D" w:rsidP="004715D7">
      <w:r>
        <w:separator/>
      </w:r>
    </w:p>
  </w:footnote>
  <w:footnote w:type="continuationSeparator" w:id="0">
    <w:p w14:paraId="2D554E3A" w14:textId="77777777" w:rsidR="0007637D" w:rsidRDefault="0007637D"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716455"/>
    <w:multiLevelType w:val="hybridMultilevel"/>
    <w:tmpl w:val="CB480FDA"/>
    <w:lvl w:ilvl="0" w:tplc="E0C460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3"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4"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A3CCC"/>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690763742">
    <w:abstractNumId w:val="4"/>
  </w:num>
  <w:num w:numId="2" w16cid:durableId="656542656">
    <w:abstractNumId w:val="2"/>
  </w:num>
  <w:num w:numId="3" w16cid:durableId="1245335187">
    <w:abstractNumId w:val="3"/>
  </w:num>
  <w:num w:numId="4" w16cid:durableId="734006595">
    <w:abstractNumId w:val="1"/>
  </w:num>
  <w:num w:numId="5" w16cid:durableId="1197545255">
    <w:abstractNumId w:val="5"/>
  </w:num>
  <w:num w:numId="6" w16cid:durableId="145582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7637D"/>
    <w:rsid w:val="000A620C"/>
    <w:rsid w:val="00140187"/>
    <w:rsid w:val="00160A1B"/>
    <w:rsid w:val="001B3FE4"/>
    <w:rsid w:val="001C69B1"/>
    <w:rsid w:val="001E0700"/>
    <w:rsid w:val="001F0BC0"/>
    <w:rsid w:val="001F4E82"/>
    <w:rsid w:val="00221F82"/>
    <w:rsid w:val="00234465"/>
    <w:rsid w:val="00274D0F"/>
    <w:rsid w:val="00280892"/>
    <w:rsid w:val="003A6F83"/>
    <w:rsid w:val="003F0B99"/>
    <w:rsid w:val="00415992"/>
    <w:rsid w:val="00423D3B"/>
    <w:rsid w:val="00437603"/>
    <w:rsid w:val="00466A2D"/>
    <w:rsid w:val="004715D7"/>
    <w:rsid w:val="0049461E"/>
    <w:rsid w:val="004D7436"/>
    <w:rsid w:val="0052195F"/>
    <w:rsid w:val="005456FA"/>
    <w:rsid w:val="00552564"/>
    <w:rsid w:val="005A4741"/>
    <w:rsid w:val="005D7AD7"/>
    <w:rsid w:val="005E7302"/>
    <w:rsid w:val="005E747C"/>
    <w:rsid w:val="00634D6D"/>
    <w:rsid w:val="006A66A9"/>
    <w:rsid w:val="00741FC5"/>
    <w:rsid w:val="007D0432"/>
    <w:rsid w:val="008C1F2C"/>
    <w:rsid w:val="00902C2B"/>
    <w:rsid w:val="00927BA2"/>
    <w:rsid w:val="00956A4E"/>
    <w:rsid w:val="00A40207"/>
    <w:rsid w:val="00A57519"/>
    <w:rsid w:val="00AD1D3D"/>
    <w:rsid w:val="00B0356A"/>
    <w:rsid w:val="00B55D07"/>
    <w:rsid w:val="00BB076A"/>
    <w:rsid w:val="00BB2BDA"/>
    <w:rsid w:val="00C03036"/>
    <w:rsid w:val="00C4418B"/>
    <w:rsid w:val="00C604A3"/>
    <w:rsid w:val="00C86AF3"/>
    <w:rsid w:val="00C91690"/>
    <w:rsid w:val="00CB56E3"/>
    <w:rsid w:val="00CE50E5"/>
    <w:rsid w:val="00D53D5F"/>
    <w:rsid w:val="00D73FD3"/>
    <w:rsid w:val="00E36C7B"/>
    <w:rsid w:val="00EC30F5"/>
    <w:rsid w:val="00EC500F"/>
    <w:rsid w:val="00F21580"/>
    <w:rsid w:val="00F24A7A"/>
    <w:rsid w:val="00F37681"/>
    <w:rsid w:val="00F43793"/>
    <w:rsid w:val="00F9560F"/>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paragraph" w:styleId="NormalWeb">
    <w:name w:val="Normal (Web)"/>
    <w:basedOn w:val="Normal"/>
    <w:uiPriority w:val="99"/>
    <w:unhideWhenUsed/>
    <w:rsid w:val="005D7AD7"/>
    <w:pPr>
      <w:spacing w:before="100" w:beforeAutospacing="1" w:after="119"/>
    </w:pPr>
    <w:rPr>
      <w:sz w:val="24"/>
      <w:szCs w:val="24"/>
    </w:rPr>
  </w:style>
  <w:style w:type="paragraph" w:styleId="Textedebulles">
    <w:name w:val="Balloon Text"/>
    <w:basedOn w:val="Normal"/>
    <w:link w:val="TextedebullesCar"/>
    <w:uiPriority w:val="99"/>
    <w:semiHidden/>
    <w:unhideWhenUsed/>
    <w:rsid w:val="007D0432"/>
    <w:rPr>
      <w:rFonts w:ascii="Tahoma" w:hAnsi="Tahoma" w:cs="Tahoma"/>
      <w:sz w:val="16"/>
      <w:szCs w:val="16"/>
    </w:rPr>
  </w:style>
  <w:style w:type="character" w:customStyle="1" w:styleId="TextedebullesCar">
    <w:name w:val="Texte de bulles Car"/>
    <w:basedOn w:val="Policepardfaut"/>
    <w:link w:val="Textedebulles"/>
    <w:uiPriority w:val="99"/>
    <w:semiHidden/>
    <w:rsid w:val="007D0432"/>
    <w:rPr>
      <w:rFonts w:ascii="Tahoma" w:eastAsia="Times New Roman" w:hAnsi="Tahoma" w:cs="Tahoma"/>
      <w:sz w:val="16"/>
      <w:szCs w:val="16"/>
      <w:lang w:eastAsia="fr-FR"/>
    </w:rPr>
  </w:style>
  <w:style w:type="character" w:customStyle="1" w:styleId="NormalRGPDCar">
    <w:name w:val="Normal RGPD Car"/>
    <w:link w:val="NormalRGPD"/>
    <w:locked/>
    <w:rsid w:val="00F37681"/>
    <w:rPr>
      <w:color w:val="002060"/>
    </w:rPr>
  </w:style>
  <w:style w:type="paragraph" w:customStyle="1" w:styleId="NormalRGPD">
    <w:name w:val="Normal RGPD"/>
    <w:basedOn w:val="Normal"/>
    <w:link w:val="NormalRGPDCar"/>
    <w:qFormat/>
    <w:rsid w:val="00F37681"/>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2969</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3</cp:revision>
  <dcterms:created xsi:type="dcterms:W3CDTF">2023-04-13T07:59:00Z</dcterms:created>
  <dcterms:modified xsi:type="dcterms:W3CDTF">2023-04-13T08:00:00Z</dcterms:modified>
</cp:coreProperties>
</file>